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6800" w14:textId="4C1E0CF3"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b/>
          <w:bCs/>
          <w:sz w:val="24"/>
          <w:szCs w:val="24"/>
          <w:u w:val="single"/>
        </w:rPr>
        <w:t>PFS Credential:</w:t>
      </w:r>
    </w:p>
    <w:p w14:paraId="0EFF562A" w14:textId="320B0AF3"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0AC6254C" w14:textId="18EC7257"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The combination of the CPA and the PFS credential has proven to be a great benefit to our firm. The education that integrates with the CPA license, and the client awareness that we have advanced training and skills in personal financial planning is the perfect combination. </w:t>
      </w:r>
    </w:p>
    <w:p w14:paraId="31DC6DFF" w14:textId="661685B7"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sz w:val="24"/>
          <w:szCs w:val="24"/>
        </w:rPr>
        <w:t xml:space="preserve"> </w:t>
      </w:r>
    </w:p>
    <w:p w14:paraId="19175278" w14:textId="47988EF0" w:rsidR="2D03F6FB" w:rsidRPr="00856F65" w:rsidRDefault="2D03F6FB" w:rsidP="6BFFB3EC">
      <w:pPr>
        <w:rPr>
          <w:rFonts w:asciiTheme="minorHAnsi" w:eastAsia="Arial" w:hAnsiTheme="minorHAnsi" w:cstheme="minorHAnsi"/>
          <w:sz w:val="24"/>
          <w:szCs w:val="24"/>
        </w:rPr>
      </w:pPr>
      <w:r w:rsidRPr="00856F65">
        <w:rPr>
          <w:rFonts w:asciiTheme="minorHAnsi" w:eastAsia="Arial" w:hAnsiTheme="minorHAnsi" w:cstheme="minorHAnsi"/>
          <w:sz w:val="24"/>
          <w:szCs w:val="24"/>
        </w:rPr>
        <w:t xml:space="preserve">The PFS credential is the perfect way to let clients know that you have advanced training in personal financial planning. In a world that is overrun with credentials, clients immediately recognize the skills of a CPA, and by adding the PFS credential they feel even more confident you are best choice to help them with their personal financial planning.  </w:t>
      </w:r>
      <w:r w:rsidRPr="00856F65">
        <w:rPr>
          <w:rFonts w:asciiTheme="minorHAnsi" w:hAnsiTheme="minorHAnsi" w:cstheme="minorHAnsi"/>
          <w:sz w:val="24"/>
          <w:szCs w:val="24"/>
        </w:rPr>
        <w:br/>
      </w:r>
      <w:r w:rsidRPr="00856F65">
        <w:rPr>
          <w:rFonts w:asciiTheme="minorHAnsi" w:eastAsia="Arial" w:hAnsiTheme="minorHAnsi" w:cstheme="minorHAnsi"/>
          <w:sz w:val="24"/>
          <w:szCs w:val="24"/>
        </w:rPr>
        <w:t xml:space="preserve"> </w:t>
      </w:r>
      <w:r w:rsidRPr="00856F65">
        <w:rPr>
          <w:rFonts w:asciiTheme="minorHAnsi" w:hAnsiTheme="minorHAnsi" w:cstheme="minorHAnsi"/>
          <w:sz w:val="24"/>
          <w:szCs w:val="24"/>
        </w:rPr>
        <w:br/>
      </w:r>
    </w:p>
    <w:p w14:paraId="0634B1E4" w14:textId="1127E157"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Dave Stolz, CPA/PFS</w:t>
      </w:r>
    </w:p>
    <w:p w14:paraId="4024BD2A" w14:textId="38B7A206"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sz w:val="24"/>
          <w:szCs w:val="24"/>
        </w:rPr>
        <w:t xml:space="preserve"> </w:t>
      </w:r>
    </w:p>
    <w:p w14:paraId="4D48CFDB" w14:textId="573A14C2"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b/>
          <w:bCs/>
          <w:sz w:val="24"/>
          <w:szCs w:val="24"/>
          <w:u w:val="single"/>
        </w:rPr>
        <w:t xml:space="preserve">CITP Credential: </w:t>
      </w:r>
    </w:p>
    <w:p w14:paraId="06F1181B" w14:textId="5F498134"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sz w:val="24"/>
          <w:szCs w:val="24"/>
        </w:rPr>
        <w:t xml:space="preserve"> </w:t>
      </w:r>
    </w:p>
    <w:p w14:paraId="614D8BA3" w14:textId="16E09A11"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4464BCD1" w14:textId="693183CA"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sz w:val="24"/>
          <w:szCs w:val="24"/>
        </w:rPr>
        <w:t xml:space="preserve"> </w:t>
      </w:r>
    </w:p>
    <w:p w14:paraId="5F6A15B3" w14:textId="55C4D5CA"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“The CITP credential has been a great business driver for our firm. Our clients know they are working with a professional who understands at the highest level the financial aspect and the technological aspect — to make complete sense of their data. It’s a wonderful, powerful 1–2 </w:t>
      </w:r>
      <w:proofErr w:type="gramStart"/>
      <w:r w:rsidRPr="00856F65">
        <w:rPr>
          <w:rFonts w:asciiTheme="minorHAnsi" w:eastAsia="Arial" w:hAnsiTheme="minorHAnsi" w:cstheme="minorHAnsi"/>
          <w:sz w:val="24"/>
          <w:szCs w:val="24"/>
        </w:rPr>
        <w:t>punch</w:t>
      </w:r>
      <w:proofErr w:type="gramEnd"/>
      <w:r w:rsidRPr="00856F65">
        <w:rPr>
          <w:rFonts w:asciiTheme="minorHAnsi" w:eastAsia="Arial" w:hAnsiTheme="minorHAnsi" w:cstheme="minorHAnsi"/>
          <w:sz w:val="24"/>
          <w:szCs w:val="24"/>
        </w:rPr>
        <w:t xml:space="preserve">” </w:t>
      </w:r>
    </w:p>
    <w:p w14:paraId="251A439C" w14:textId="38B23E69"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50952A40" w14:textId="7F412D76"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Kevin Martin, CPA/CITP </w:t>
      </w:r>
    </w:p>
    <w:p w14:paraId="00010676" w14:textId="3F9D3392"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Martin &amp; Associates </w:t>
      </w:r>
    </w:p>
    <w:p w14:paraId="5C6B4ED5" w14:textId="33E4AF18"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sz w:val="24"/>
          <w:szCs w:val="24"/>
        </w:rPr>
        <w:t xml:space="preserve"> </w:t>
      </w:r>
    </w:p>
    <w:p w14:paraId="3B28549F" w14:textId="47551DF1"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b/>
          <w:bCs/>
          <w:sz w:val="24"/>
          <w:szCs w:val="24"/>
          <w:u w:val="single"/>
        </w:rPr>
        <w:t>CFF Credential:</w:t>
      </w:r>
    </w:p>
    <w:p w14:paraId="20316805" w14:textId="539C2ADB"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3DA9853D" w14:textId="0D9354A1"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The Certified in Financial Forensics (CFF) credential has been extremely useful in demonstrating and promoting my skills, </w:t>
      </w:r>
      <w:proofErr w:type="gramStart"/>
      <w:r w:rsidRPr="00856F65">
        <w:rPr>
          <w:rFonts w:asciiTheme="minorHAnsi" w:eastAsia="Arial" w:hAnsiTheme="minorHAnsi" w:cstheme="minorHAnsi"/>
          <w:sz w:val="24"/>
          <w:szCs w:val="24"/>
        </w:rPr>
        <w:t>education</w:t>
      </w:r>
      <w:proofErr w:type="gramEnd"/>
      <w:r w:rsidRPr="00856F65">
        <w:rPr>
          <w:rFonts w:asciiTheme="minorHAnsi" w:eastAsia="Arial" w:hAnsiTheme="minorHAnsi" w:cstheme="minorHAnsi"/>
          <w:sz w:val="24"/>
          <w:szCs w:val="24"/>
        </w:rPr>
        <w:t xml:space="preserve"> and professional experience.   I appreciate that the CFF body of knowledge encompasses multiple areas of forensic </w:t>
      </w:r>
      <w:r w:rsidRPr="00856F65">
        <w:rPr>
          <w:rFonts w:asciiTheme="minorHAnsi" w:eastAsia="Times New Roman" w:hAnsiTheme="minorHAnsi" w:cstheme="minorHAnsi"/>
          <w:sz w:val="24"/>
          <w:szCs w:val="24"/>
        </w:rPr>
        <w:t xml:space="preserve">accounting and is therefore suitable in establishing credibility in the many diverse matters in which I provide expert opinions, such as economic damages, marital </w:t>
      </w:r>
      <w:proofErr w:type="gramStart"/>
      <w:r w:rsidRPr="00856F65">
        <w:rPr>
          <w:rFonts w:asciiTheme="minorHAnsi" w:eastAsia="Times New Roman" w:hAnsiTheme="minorHAnsi" w:cstheme="minorHAnsi"/>
          <w:sz w:val="24"/>
          <w:szCs w:val="24"/>
        </w:rPr>
        <w:t>dissolution</w:t>
      </w:r>
      <w:proofErr w:type="gramEnd"/>
      <w:r w:rsidRPr="00856F65">
        <w:rPr>
          <w:rFonts w:asciiTheme="minorHAnsi" w:eastAsia="Times New Roman" w:hAnsiTheme="minorHAnsi" w:cstheme="minorHAnsi"/>
          <w:sz w:val="24"/>
          <w:szCs w:val="24"/>
        </w:rPr>
        <w:t xml:space="preserve"> and fraud.    </w:t>
      </w:r>
      <w:r w:rsidRPr="00856F65">
        <w:rPr>
          <w:rFonts w:asciiTheme="minorHAnsi" w:eastAsia="Arial" w:hAnsiTheme="minorHAnsi" w:cstheme="minorHAnsi"/>
          <w:sz w:val="24"/>
          <w:szCs w:val="24"/>
        </w:rPr>
        <w:t xml:space="preserve"> </w:t>
      </w:r>
    </w:p>
    <w:p w14:paraId="77F795C3" w14:textId="2329E388"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45D65AAB" w14:textId="77FC8229" w:rsidR="2D03F6FB" w:rsidRPr="00856F65" w:rsidRDefault="2D03F6FB" w:rsidP="6BFFB3EC">
      <w:pPr>
        <w:rPr>
          <w:rFonts w:asciiTheme="minorHAnsi" w:eastAsia="Arial" w:hAnsiTheme="minorHAnsi" w:cstheme="minorHAnsi"/>
          <w:color w:val="282828"/>
          <w:sz w:val="24"/>
          <w:szCs w:val="24"/>
        </w:rPr>
      </w:pPr>
      <w:r w:rsidRPr="00856F65">
        <w:rPr>
          <w:rFonts w:asciiTheme="minorHAnsi" w:eastAsia="Arial" w:hAnsiTheme="minorHAnsi" w:cstheme="minorHAnsi"/>
          <w:color w:val="222222"/>
          <w:sz w:val="24"/>
          <w:szCs w:val="24"/>
        </w:rPr>
        <w:t xml:space="preserve">Julia Allen </w:t>
      </w:r>
      <w:r w:rsidRPr="00856F65">
        <w:rPr>
          <w:rFonts w:asciiTheme="minorHAnsi" w:eastAsia="Times New Roman" w:hAnsiTheme="minorHAnsi" w:cstheme="minorHAnsi"/>
          <w:sz w:val="24"/>
          <w:szCs w:val="24"/>
        </w:rPr>
        <w:t>Miessner, CPA/ABV/CFF, CGMA</w:t>
      </w:r>
      <w:r w:rsidRPr="00856F65">
        <w:rPr>
          <w:rFonts w:asciiTheme="minorHAnsi" w:eastAsia="Arial" w:hAnsiTheme="minorHAnsi" w:cstheme="minorHAnsi"/>
          <w:color w:val="222222"/>
          <w:sz w:val="24"/>
          <w:szCs w:val="24"/>
        </w:rPr>
        <w:t xml:space="preserve"> </w:t>
      </w:r>
      <w:r w:rsidRPr="00856F65">
        <w:rPr>
          <w:rFonts w:asciiTheme="minorHAnsi" w:hAnsiTheme="minorHAnsi" w:cstheme="minorHAnsi"/>
          <w:sz w:val="24"/>
          <w:szCs w:val="24"/>
        </w:rPr>
        <w:br/>
      </w:r>
      <w:r w:rsidRPr="00856F65">
        <w:rPr>
          <w:rFonts w:asciiTheme="minorHAnsi" w:eastAsia="Arial" w:hAnsiTheme="minorHAnsi" w:cstheme="minorHAnsi"/>
          <w:color w:val="222222"/>
          <w:sz w:val="24"/>
          <w:szCs w:val="24"/>
        </w:rPr>
        <w:t xml:space="preserve"> </w:t>
      </w:r>
      <w:r w:rsidRPr="00856F65">
        <w:rPr>
          <w:rFonts w:asciiTheme="minorHAnsi" w:eastAsia="Arial" w:hAnsiTheme="minorHAnsi" w:cstheme="minorHAnsi"/>
          <w:color w:val="666666"/>
          <w:sz w:val="24"/>
          <w:szCs w:val="24"/>
        </w:rPr>
        <w:t xml:space="preserve">Shareholder, </w:t>
      </w:r>
      <w:proofErr w:type="spellStart"/>
      <w:r w:rsidRPr="00856F65">
        <w:rPr>
          <w:rFonts w:asciiTheme="minorHAnsi" w:eastAsia="Arial" w:hAnsiTheme="minorHAnsi" w:cstheme="minorHAnsi"/>
          <w:b/>
          <w:bCs/>
          <w:color w:val="CE182D"/>
          <w:sz w:val="24"/>
          <w:szCs w:val="24"/>
        </w:rPr>
        <w:t>Beach</w:t>
      </w:r>
      <w:r w:rsidRPr="00856F65">
        <w:rPr>
          <w:rFonts w:asciiTheme="minorHAnsi" w:eastAsia="Arial" w:hAnsiTheme="minorHAnsi" w:cstheme="minorHAnsi"/>
          <w:b/>
          <w:bCs/>
          <w:color w:val="282828"/>
          <w:sz w:val="24"/>
          <w:szCs w:val="24"/>
        </w:rPr>
        <w:t>Fleischman</w:t>
      </w:r>
      <w:proofErr w:type="spellEnd"/>
      <w:r w:rsidRPr="00856F65">
        <w:rPr>
          <w:rFonts w:asciiTheme="minorHAnsi" w:eastAsia="Arial" w:hAnsiTheme="minorHAnsi" w:cstheme="minorHAnsi"/>
          <w:color w:val="282828"/>
          <w:sz w:val="24"/>
          <w:szCs w:val="24"/>
        </w:rPr>
        <w:t xml:space="preserve"> </w:t>
      </w:r>
      <w:r w:rsidRPr="00856F65">
        <w:rPr>
          <w:rFonts w:asciiTheme="minorHAnsi" w:hAnsiTheme="minorHAnsi" w:cstheme="minorHAnsi"/>
          <w:sz w:val="24"/>
          <w:szCs w:val="24"/>
        </w:rPr>
        <w:br/>
      </w:r>
      <w:r w:rsidRPr="00856F65">
        <w:rPr>
          <w:rFonts w:asciiTheme="minorHAnsi" w:eastAsia="Arial" w:hAnsiTheme="minorHAnsi" w:cstheme="minorHAnsi"/>
          <w:color w:val="282828"/>
          <w:sz w:val="24"/>
          <w:szCs w:val="24"/>
        </w:rPr>
        <w:t xml:space="preserve"> </w:t>
      </w:r>
      <w:r w:rsidRPr="00856F65">
        <w:rPr>
          <w:rFonts w:asciiTheme="minorHAnsi" w:hAnsiTheme="minorHAnsi" w:cstheme="minorHAnsi"/>
          <w:sz w:val="24"/>
          <w:szCs w:val="24"/>
        </w:rPr>
        <w:br/>
      </w:r>
    </w:p>
    <w:p w14:paraId="63F76AAE" w14:textId="7E26DD66" w:rsidR="002376BA" w:rsidRPr="00856F65" w:rsidRDefault="2D03F6FB" w:rsidP="002376BA">
      <w:pPr>
        <w:shd w:val="clear" w:color="auto" w:fill="FFFFFF"/>
        <w:spacing w:after="160" w:line="259" w:lineRule="auto"/>
        <w:rPr>
          <w:rFonts w:asciiTheme="minorHAnsi" w:eastAsia="Calibri" w:hAnsiTheme="minorHAnsi" w:cstheme="minorHAnsi"/>
          <w:color w:val="000000"/>
          <w:sz w:val="24"/>
          <w:szCs w:val="24"/>
        </w:rPr>
      </w:pPr>
      <w:r w:rsidRPr="00856F65">
        <w:rPr>
          <w:rFonts w:asciiTheme="minorHAnsi" w:eastAsia="Arial" w:hAnsiTheme="minorHAnsi" w:cstheme="minorHAnsi"/>
          <w:color w:val="222222"/>
          <w:sz w:val="24"/>
          <w:szCs w:val="24"/>
        </w:rPr>
        <w:t xml:space="preserve"> </w:t>
      </w:r>
      <w:r w:rsidR="002376BA" w:rsidRPr="00856F65">
        <w:rPr>
          <w:rFonts w:asciiTheme="minorHAnsi" w:eastAsia="Calibri" w:hAnsiTheme="minorHAnsi" w:cstheme="minorHAnsi"/>
          <w:sz w:val="24"/>
          <w:szCs w:val="24"/>
        </w:rPr>
        <w:t xml:space="preserve">For </w:t>
      </w:r>
      <w:r w:rsidR="002376BA" w:rsidRPr="00856F65">
        <w:rPr>
          <w:rFonts w:asciiTheme="minorHAnsi" w:eastAsia="Calibri" w:hAnsiTheme="minorHAnsi" w:cstheme="minorHAnsi"/>
          <w:b/>
          <w:sz w:val="24"/>
          <w:szCs w:val="24"/>
        </w:rPr>
        <w:t xml:space="preserve">Jolene Fraser, CPA/CFF, CFE, Managing Director at </w:t>
      </w:r>
      <w:proofErr w:type="spellStart"/>
      <w:r w:rsidR="002376BA" w:rsidRPr="00856F65">
        <w:rPr>
          <w:rFonts w:asciiTheme="minorHAnsi" w:eastAsia="Calibri" w:hAnsiTheme="minorHAnsi" w:cstheme="minorHAnsi"/>
          <w:b/>
          <w:sz w:val="24"/>
          <w:szCs w:val="24"/>
        </w:rPr>
        <w:t>EisnerAmper</w:t>
      </w:r>
      <w:proofErr w:type="spellEnd"/>
      <w:r w:rsidR="002376BA" w:rsidRPr="00856F65">
        <w:rPr>
          <w:rFonts w:asciiTheme="minorHAnsi" w:eastAsia="Calibri" w:hAnsiTheme="minorHAnsi" w:cstheme="minorHAnsi"/>
          <w:b/>
          <w:sz w:val="24"/>
          <w:szCs w:val="24"/>
        </w:rPr>
        <w:t xml:space="preserve"> LLP, </w:t>
      </w:r>
      <w:r w:rsidR="002376BA" w:rsidRPr="00856F65">
        <w:rPr>
          <w:rFonts w:asciiTheme="minorHAnsi" w:eastAsia="Calibri" w:hAnsiTheme="minorHAnsi" w:cstheme="minorHAnsi"/>
          <w:sz w:val="24"/>
          <w:szCs w:val="24"/>
        </w:rPr>
        <w:t xml:space="preserve">pursuing an AICPA specialized credential was second nature. She’s always been good with </w:t>
      </w:r>
      <w:proofErr w:type="gramStart"/>
      <w:r w:rsidR="002376BA" w:rsidRPr="00856F65">
        <w:rPr>
          <w:rFonts w:asciiTheme="minorHAnsi" w:eastAsia="Calibri" w:hAnsiTheme="minorHAnsi" w:cstheme="minorHAnsi"/>
          <w:sz w:val="24"/>
          <w:szCs w:val="24"/>
        </w:rPr>
        <w:t>numbers, and</w:t>
      </w:r>
      <w:proofErr w:type="gramEnd"/>
      <w:r w:rsidR="002376BA" w:rsidRPr="00856F65">
        <w:rPr>
          <w:rFonts w:asciiTheme="minorHAnsi" w:eastAsia="Calibri" w:hAnsiTheme="minorHAnsi" w:cstheme="minorHAnsi"/>
          <w:sz w:val="24"/>
          <w:szCs w:val="24"/>
        </w:rPr>
        <w:t xml:space="preserve"> worked as an auditor in a Big 8 firm. After 10 years in public accounting, a colleague introduced her to forensic accounting. Right away, she knew this specialty was something she wanted to pursue as a career. “Testifying as an expert requires a huge amount of credibility. The CFF credential, and the fact that it’s backed by the AICPA, gives me that credibility,” she says. It has also led to many referrals from attorneys, who are much more likely to call on CFF credential holders than non-credential holders. </w:t>
      </w:r>
    </w:p>
    <w:p w14:paraId="4C078800" w14:textId="25C47E1D" w:rsidR="2D03F6FB" w:rsidRPr="00856F65" w:rsidRDefault="2D03F6FB">
      <w:pPr>
        <w:rPr>
          <w:rFonts w:asciiTheme="minorHAnsi" w:hAnsiTheme="minorHAnsi" w:cstheme="minorHAnsi"/>
          <w:sz w:val="24"/>
          <w:szCs w:val="24"/>
        </w:rPr>
      </w:pPr>
    </w:p>
    <w:p w14:paraId="00622A57" w14:textId="70719926"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sz w:val="24"/>
          <w:szCs w:val="24"/>
        </w:rPr>
        <w:t xml:space="preserve"> </w:t>
      </w:r>
    </w:p>
    <w:p w14:paraId="532BC49F" w14:textId="214EB5DE" w:rsidR="2D03F6FB" w:rsidRPr="00856F65" w:rsidRDefault="2D03F6FB">
      <w:pPr>
        <w:rPr>
          <w:rFonts w:asciiTheme="minorHAnsi" w:hAnsiTheme="minorHAnsi" w:cstheme="minorHAnsi"/>
          <w:sz w:val="24"/>
          <w:szCs w:val="24"/>
        </w:rPr>
      </w:pPr>
      <w:r w:rsidRPr="00856F65">
        <w:rPr>
          <w:rFonts w:asciiTheme="minorHAnsi" w:eastAsia="Times New Roman" w:hAnsiTheme="minorHAnsi" w:cstheme="minorHAnsi"/>
          <w:b/>
          <w:bCs/>
          <w:sz w:val="24"/>
          <w:szCs w:val="24"/>
          <w:u w:val="single"/>
        </w:rPr>
        <w:t>ABV Credential:</w:t>
      </w:r>
    </w:p>
    <w:p w14:paraId="104F3B76" w14:textId="45E331E3"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5F4BB67A" w14:textId="59BFA62E"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“The in-depth practice aids on valuation and litigation topics are worth the price of the membership alone. These sources are invaluable to any person practicing in the dispute </w:t>
      </w:r>
      <w:r w:rsidRPr="00856F65">
        <w:rPr>
          <w:rFonts w:asciiTheme="minorHAnsi" w:eastAsia="Arial" w:hAnsiTheme="minorHAnsi" w:cstheme="minorHAnsi"/>
          <w:sz w:val="24"/>
          <w:szCs w:val="24"/>
        </w:rPr>
        <w:lastRenderedPageBreak/>
        <w:t xml:space="preserve">resolution or valuation practice areas and you will be hard-pressed to find the level of author expertise anywhere else.” </w:t>
      </w:r>
    </w:p>
    <w:p w14:paraId="1211FE07" w14:textId="0F2D2D83"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Tim Cowley, CPA/ABV/CFF, Cowley CPAs, PLC: </w:t>
      </w:r>
    </w:p>
    <w:p w14:paraId="1A9A4554" w14:textId="58645C02" w:rsidR="2D03F6FB" w:rsidRPr="00856F65" w:rsidRDefault="2D03F6FB">
      <w:pPr>
        <w:rPr>
          <w:rFonts w:asciiTheme="minorHAnsi" w:hAnsiTheme="minorHAnsi" w:cstheme="minorHAnsi"/>
          <w:sz w:val="24"/>
          <w:szCs w:val="24"/>
        </w:rPr>
      </w:pPr>
      <w:r w:rsidRPr="00856F65">
        <w:rPr>
          <w:rFonts w:asciiTheme="minorHAnsi" w:eastAsia="Arial" w:hAnsiTheme="minorHAnsi" w:cstheme="minorHAnsi"/>
          <w:sz w:val="24"/>
          <w:szCs w:val="24"/>
        </w:rPr>
        <w:t xml:space="preserve"> </w:t>
      </w:r>
    </w:p>
    <w:p w14:paraId="18DDF62D" w14:textId="2006E117" w:rsidR="2D03F6FB" w:rsidRPr="00856F65" w:rsidRDefault="2D03F6FB">
      <w:pPr>
        <w:rPr>
          <w:rFonts w:asciiTheme="minorHAnsi" w:hAnsiTheme="minorHAnsi" w:cstheme="minorHAnsi"/>
          <w:b/>
          <w:bCs/>
          <w:sz w:val="24"/>
          <w:szCs w:val="24"/>
          <w:u w:val="single"/>
        </w:rPr>
      </w:pPr>
      <w:r w:rsidRPr="00856F65">
        <w:rPr>
          <w:rFonts w:asciiTheme="minorHAnsi" w:eastAsia="Times New Roman" w:hAnsiTheme="minorHAnsi" w:cstheme="minorHAnsi"/>
          <w:b/>
          <w:bCs/>
          <w:sz w:val="24"/>
          <w:szCs w:val="24"/>
          <w:u w:val="single"/>
        </w:rPr>
        <w:t xml:space="preserve"> </w:t>
      </w:r>
    </w:p>
    <w:p w14:paraId="5901182D" w14:textId="27B31E52" w:rsidR="6BFFB3EC" w:rsidRPr="00856F65" w:rsidRDefault="00856F65" w:rsidP="6BFFB3EC">
      <w:pPr>
        <w:spacing w:line="257" w:lineRule="auto"/>
        <w:rPr>
          <w:rFonts w:asciiTheme="minorHAnsi" w:eastAsia="Arial" w:hAnsiTheme="minorHAnsi" w:cstheme="minorHAnsi"/>
          <w:b/>
          <w:bCs/>
          <w:sz w:val="24"/>
          <w:szCs w:val="24"/>
          <w:u w:val="single"/>
        </w:rPr>
      </w:pPr>
      <w:r w:rsidRPr="00856F65">
        <w:rPr>
          <w:rFonts w:asciiTheme="minorHAnsi" w:eastAsia="Arial" w:hAnsiTheme="minorHAnsi" w:cstheme="minorHAnsi"/>
          <w:b/>
          <w:bCs/>
          <w:sz w:val="24"/>
          <w:szCs w:val="24"/>
          <w:u w:val="single"/>
        </w:rPr>
        <w:t>CVFI Credential</w:t>
      </w:r>
    </w:p>
    <w:p w14:paraId="1D9EF626" w14:textId="77777777" w:rsidR="00856F65" w:rsidRPr="00856F65" w:rsidRDefault="00856F65" w:rsidP="6BFFB3EC">
      <w:pPr>
        <w:spacing w:line="257" w:lineRule="auto"/>
        <w:rPr>
          <w:rFonts w:asciiTheme="minorHAnsi" w:eastAsia="Arial" w:hAnsiTheme="minorHAnsi" w:cstheme="minorHAnsi"/>
          <w:sz w:val="24"/>
          <w:szCs w:val="24"/>
        </w:rPr>
      </w:pPr>
    </w:p>
    <w:p w14:paraId="2A2C0BB5" w14:textId="77777777" w:rsidR="00CF1271" w:rsidRPr="00856F65" w:rsidRDefault="00CF1271" w:rsidP="00CF1271">
      <w:pPr>
        <w:rPr>
          <w:rFonts w:asciiTheme="minorHAnsi" w:hAnsiTheme="minorHAnsi" w:cstheme="minorHAnsi"/>
          <w:sz w:val="24"/>
          <w:szCs w:val="24"/>
        </w:rPr>
      </w:pPr>
      <w:r w:rsidRPr="00856F65">
        <w:rPr>
          <w:rFonts w:asciiTheme="minorHAnsi" w:hAnsiTheme="minorHAnsi" w:cstheme="minorHAnsi"/>
          <w:sz w:val="24"/>
          <w:szCs w:val="24"/>
        </w:rPr>
        <w:t>“Since the Global Financial Crisis, regulators have become more urgent in calling for increased transparency in financial instrument valuation.</w:t>
      </w:r>
    </w:p>
    <w:p w14:paraId="76C9E75B" w14:textId="77777777" w:rsidR="00CF1271" w:rsidRPr="00856F65" w:rsidRDefault="00CF1271" w:rsidP="00CF1271">
      <w:pPr>
        <w:rPr>
          <w:rFonts w:asciiTheme="minorHAnsi" w:hAnsiTheme="minorHAnsi" w:cstheme="minorHAnsi"/>
          <w:sz w:val="24"/>
          <w:szCs w:val="24"/>
        </w:rPr>
      </w:pPr>
    </w:p>
    <w:p w14:paraId="3ABD8EA3" w14:textId="77777777" w:rsidR="00CF1271" w:rsidRPr="00856F65" w:rsidRDefault="00CF1271" w:rsidP="00CF1271">
      <w:pPr>
        <w:rPr>
          <w:rFonts w:asciiTheme="minorHAnsi" w:hAnsiTheme="minorHAnsi" w:cstheme="minorHAnsi"/>
          <w:sz w:val="24"/>
          <w:szCs w:val="24"/>
        </w:rPr>
      </w:pPr>
      <w:r w:rsidRPr="00856F65">
        <w:rPr>
          <w:rFonts w:asciiTheme="minorHAnsi" w:hAnsiTheme="minorHAnsi" w:cstheme="minorHAnsi"/>
          <w:sz w:val="24"/>
          <w:szCs w:val="24"/>
        </w:rPr>
        <w:t xml:space="preserve">The Financial Instruments Task Force - - educators from academia, and industry experts from leading valuation providers, accounting and advisory firms, and global banks - - also clearly recognized the need for a standard framework for better documentation, consistency, and auditability in this area. </w:t>
      </w:r>
    </w:p>
    <w:p w14:paraId="1515D15E" w14:textId="77777777" w:rsidR="00CF1271" w:rsidRPr="00856F65" w:rsidRDefault="00CF1271" w:rsidP="00CF1271">
      <w:pPr>
        <w:rPr>
          <w:rFonts w:asciiTheme="minorHAnsi" w:hAnsiTheme="minorHAnsi" w:cstheme="minorHAnsi"/>
          <w:sz w:val="24"/>
          <w:szCs w:val="24"/>
        </w:rPr>
      </w:pPr>
    </w:p>
    <w:p w14:paraId="010DC7F0" w14:textId="77777777" w:rsidR="00CF1271" w:rsidRPr="00856F65" w:rsidRDefault="00CF1271" w:rsidP="00CF1271">
      <w:pPr>
        <w:rPr>
          <w:rFonts w:asciiTheme="minorHAnsi" w:hAnsiTheme="minorHAnsi" w:cstheme="minorHAnsi"/>
          <w:sz w:val="24"/>
          <w:szCs w:val="24"/>
        </w:rPr>
      </w:pPr>
      <w:r w:rsidRPr="00856F65">
        <w:rPr>
          <w:rFonts w:asciiTheme="minorHAnsi" w:hAnsiTheme="minorHAnsi" w:cstheme="minorHAnsi"/>
          <w:sz w:val="24"/>
          <w:szCs w:val="24"/>
        </w:rPr>
        <w:t>After surveying several available credentials, we helped create CVFI to address this specific need in the marketplace.  So, whether CVFI holders are my colleagues, clients, or competitors, the benefits to the overall industry are clear.”</w:t>
      </w:r>
    </w:p>
    <w:p w14:paraId="3A0A2FA2" w14:textId="77777777" w:rsidR="00856F65" w:rsidRDefault="00856F65" w:rsidP="6BFFB3EC">
      <w:pPr>
        <w:rPr>
          <w:rFonts w:asciiTheme="minorHAnsi" w:hAnsiTheme="minorHAnsi" w:cstheme="minorHAnsi"/>
          <w:sz w:val="24"/>
          <w:szCs w:val="24"/>
        </w:rPr>
      </w:pPr>
    </w:p>
    <w:p w14:paraId="0709CA40" w14:textId="06ACD34F" w:rsidR="6BFFB3EC" w:rsidRPr="00856F65" w:rsidRDefault="00856F65" w:rsidP="00856F65">
      <w:pPr>
        <w:pStyle w:val="ListParagraph"/>
        <w:numPr>
          <w:ilvl w:val="0"/>
          <w:numId w:val="1"/>
        </w:numPr>
        <w:rPr>
          <w:rFonts w:asciiTheme="minorHAnsi" w:hAnsiTheme="minorHAnsi" w:cstheme="minorHAnsi"/>
          <w:sz w:val="24"/>
          <w:szCs w:val="24"/>
        </w:rPr>
      </w:pPr>
      <w:r w:rsidRPr="00856F65">
        <w:rPr>
          <w:rFonts w:asciiTheme="minorHAnsi" w:hAnsiTheme="minorHAnsi" w:cstheme="minorHAnsi"/>
          <w:sz w:val="24"/>
          <w:szCs w:val="24"/>
        </w:rPr>
        <w:t xml:space="preserve">Susie </w:t>
      </w:r>
      <w:proofErr w:type="spellStart"/>
      <w:r w:rsidRPr="00856F65">
        <w:rPr>
          <w:rFonts w:asciiTheme="minorHAnsi" w:hAnsiTheme="minorHAnsi" w:cstheme="minorHAnsi"/>
          <w:sz w:val="24"/>
          <w:szCs w:val="24"/>
        </w:rPr>
        <w:t>DuRoss</w:t>
      </w:r>
      <w:proofErr w:type="spellEnd"/>
      <w:r w:rsidRPr="00856F65">
        <w:rPr>
          <w:rFonts w:asciiTheme="minorHAnsi" w:hAnsiTheme="minorHAnsi" w:cstheme="minorHAnsi"/>
          <w:sz w:val="24"/>
          <w:szCs w:val="24"/>
        </w:rPr>
        <w:t>’ testimonial</w:t>
      </w:r>
    </w:p>
    <w:sectPr w:rsidR="6BFFB3EC" w:rsidRPr="0085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259EB"/>
    <w:multiLevelType w:val="hybridMultilevel"/>
    <w:tmpl w:val="A3FC7560"/>
    <w:lvl w:ilvl="0" w:tplc="518CE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5C"/>
    <w:rsid w:val="002376BA"/>
    <w:rsid w:val="00353550"/>
    <w:rsid w:val="003A1E76"/>
    <w:rsid w:val="004C6435"/>
    <w:rsid w:val="00541D9F"/>
    <w:rsid w:val="005A61B4"/>
    <w:rsid w:val="00856F65"/>
    <w:rsid w:val="00CF1271"/>
    <w:rsid w:val="00E0185C"/>
    <w:rsid w:val="00FD25B9"/>
    <w:rsid w:val="0452F804"/>
    <w:rsid w:val="2D03F6FB"/>
    <w:rsid w:val="6BFFB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97C7"/>
  <w15:chartTrackingRefBased/>
  <w15:docId w15:val="{EACEFF1C-5D01-48C4-8A18-C1F5E74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85C"/>
    <w:rPr>
      <w:color w:val="0563C1"/>
      <w:u w:val="single"/>
    </w:rPr>
  </w:style>
  <w:style w:type="paragraph" w:styleId="ListParagraph">
    <w:name w:val="List Paragraph"/>
    <w:basedOn w:val="Normal"/>
    <w:uiPriority w:val="34"/>
    <w:qFormat/>
    <w:rsid w:val="0085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5814">
      <w:bodyDiv w:val="1"/>
      <w:marLeft w:val="0"/>
      <w:marRight w:val="0"/>
      <w:marTop w:val="0"/>
      <w:marBottom w:val="0"/>
      <w:divBdr>
        <w:top w:val="none" w:sz="0" w:space="0" w:color="auto"/>
        <w:left w:val="none" w:sz="0" w:space="0" w:color="auto"/>
        <w:bottom w:val="none" w:sz="0" w:space="0" w:color="auto"/>
        <w:right w:val="none" w:sz="0" w:space="0" w:color="auto"/>
      </w:divBdr>
    </w:div>
    <w:div w:id="388506035">
      <w:bodyDiv w:val="1"/>
      <w:marLeft w:val="0"/>
      <w:marRight w:val="0"/>
      <w:marTop w:val="0"/>
      <w:marBottom w:val="0"/>
      <w:divBdr>
        <w:top w:val="none" w:sz="0" w:space="0" w:color="auto"/>
        <w:left w:val="none" w:sz="0" w:space="0" w:color="auto"/>
        <w:bottom w:val="none" w:sz="0" w:space="0" w:color="auto"/>
        <w:right w:val="none" w:sz="0" w:space="0" w:color="auto"/>
      </w:divBdr>
    </w:div>
    <w:div w:id="1018847382">
      <w:bodyDiv w:val="1"/>
      <w:marLeft w:val="0"/>
      <w:marRight w:val="0"/>
      <w:marTop w:val="0"/>
      <w:marBottom w:val="0"/>
      <w:divBdr>
        <w:top w:val="none" w:sz="0" w:space="0" w:color="auto"/>
        <w:left w:val="none" w:sz="0" w:space="0" w:color="auto"/>
        <w:bottom w:val="none" w:sz="0" w:space="0" w:color="auto"/>
        <w:right w:val="none" w:sz="0" w:space="0" w:color="auto"/>
      </w:divBdr>
    </w:div>
    <w:div w:id="1753240072">
      <w:bodyDiv w:val="1"/>
      <w:marLeft w:val="0"/>
      <w:marRight w:val="0"/>
      <w:marTop w:val="0"/>
      <w:marBottom w:val="0"/>
      <w:divBdr>
        <w:top w:val="none" w:sz="0" w:space="0" w:color="auto"/>
        <w:left w:val="none" w:sz="0" w:space="0" w:color="auto"/>
        <w:bottom w:val="none" w:sz="0" w:space="0" w:color="auto"/>
        <w:right w:val="none" w:sz="0" w:space="0" w:color="auto"/>
      </w:divBdr>
    </w:div>
    <w:div w:id="17595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11055F2FEC5F4389B593D0BD198A8F" ma:contentTypeVersion="12" ma:contentTypeDescription="Create a new document." ma:contentTypeScope="" ma:versionID="41116cf9b261d259c3f924fd29dca01f">
  <xsd:schema xmlns:xsd="http://www.w3.org/2001/XMLSchema" xmlns:xs="http://www.w3.org/2001/XMLSchema" xmlns:p="http://schemas.microsoft.com/office/2006/metadata/properties" xmlns:ns2="3fe235f5-3e2c-4593-804c-7380c380d9b3" xmlns:ns3="ca456225-4efe-4eb5-a473-5fe4e59ae94b" targetNamespace="http://schemas.microsoft.com/office/2006/metadata/properties" ma:root="true" ma:fieldsID="af5318c53fd0ce2ed8c0bf5855b9ec5c" ns2:_="" ns3:_="">
    <xsd:import namespace="3fe235f5-3e2c-4593-804c-7380c380d9b3"/>
    <xsd:import namespace="ca456225-4efe-4eb5-a473-5fe4e59ae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235f5-3e2c-4593-804c-7380c380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56225-4efe-4eb5-a473-5fe4e59ae9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240F8-8646-4D8A-B5E0-5CD94387BF48}">
  <ds:schemaRefs>
    <ds:schemaRef ds:uri="http://schemas.openxmlformats.org/officeDocument/2006/bibliography"/>
  </ds:schemaRefs>
</ds:datastoreItem>
</file>

<file path=customXml/itemProps2.xml><?xml version="1.0" encoding="utf-8"?>
<ds:datastoreItem xmlns:ds="http://schemas.openxmlformats.org/officeDocument/2006/customXml" ds:itemID="{CDF4F771-1353-4AFB-945F-859481DB895F}">
  <ds:schemaRefs>
    <ds:schemaRef ds:uri="http://schemas.microsoft.com/office/2006/metadata/properties"/>
    <ds:schemaRef ds:uri="http://purl.org/dc/terms/"/>
    <ds:schemaRef ds:uri="ca456225-4efe-4eb5-a473-5fe4e59ae94b"/>
    <ds:schemaRef ds:uri="http://purl.org/dc/dcmitype/"/>
    <ds:schemaRef ds:uri="http://schemas.microsoft.com/office/2006/documentManagement/types"/>
    <ds:schemaRef ds:uri="3fe235f5-3e2c-4593-804c-7380c380d9b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BD7EC9-C439-4B51-9E82-31640D471026}">
  <ds:schemaRefs>
    <ds:schemaRef ds:uri="http://schemas.microsoft.com/sharepoint/v3/contenttype/forms"/>
  </ds:schemaRefs>
</ds:datastoreItem>
</file>

<file path=customXml/itemProps4.xml><?xml version="1.0" encoding="utf-8"?>
<ds:datastoreItem xmlns:ds="http://schemas.openxmlformats.org/officeDocument/2006/customXml" ds:itemID="{CB4EEDA3-35C1-4040-901E-FE4EE4D8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235f5-3e2c-4593-804c-7380c380d9b3"/>
    <ds:schemaRef ds:uri="ca456225-4efe-4eb5-a473-5fe4e59ae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Umamaheswar</dc:creator>
  <cp:keywords/>
  <dc:description/>
  <cp:lastModifiedBy>Bugs Umamaheswar</cp:lastModifiedBy>
  <cp:revision>2</cp:revision>
  <dcterms:created xsi:type="dcterms:W3CDTF">2021-02-07T17:09:00Z</dcterms:created>
  <dcterms:modified xsi:type="dcterms:W3CDTF">2021-02-07T17:09:00Z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0x0101003111055F2FEC5F4389B593D0BD198A8F</vt:lpwstr>
  </property>
</Properties>
</file>