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4515E" w14:textId="478D37ED" w:rsidR="00896CC8" w:rsidRDefault="00D2071C" w:rsidP="00D2071C">
      <w:pPr>
        <w:jc w:val="center"/>
        <w:rPr>
          <w:rFonts w:ascii="Arial" w:hAnsi="Arial" w:cs="Arial"/>
          <w:b/>
          <w:bCs/>
          <w:noProof/>
          <w:color w:val="FF0000"/>
          <w:sz w:val="36"/>
          <w:szCs w:val="36"/>
        </w:rPr>
      </w:pPr>
      <w:r w:rsidRPr="00D2071C">
        <w:rPr>
          <w:rFonts w:ascii="Arial" w:hAnsi="Arial" w:cs="Arial"/>
          <w:b/>
          <w:bCs/>
          <w:noProof/>
          <w:color w:val="FF0000"/>
          <w:sz w:val="36"/>
          <w:szCs w:val="36"/>
        </w:rPr>
        <w:t>INSERT YOUR FIRM’S LOGO/BRANDING 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BBB"/>
        <w:tblLook w:val="04A0" w:firstRow="1" w:lastRow="0" w:firstColumn="1" w:lastColumn="0" w:noHBand="0" w:noVBand="1"/>
      </w:tblPr>
      <w:tblGrid>
        <w:gridCol w:w="10790"/>
      </w:tblGrid>
      <w:tr w:rsidR="008E0DEC" w14:paraId="48CCFA9C" w14:textId="77777777" w:rsidTr="00CD472C">
        <w:trPr>
          <w:trHeight w:val="576"/>
        </w:trPr>
        <w:tc>
          <w:tcPr>
            <w:tcW w:w="10790" w:type="dxa"/>
            <w:shd w:val="clear" w:color="auto" w:fill="005BBB"/>
            <w:vAlign w:val="center"/>
          </w:tcPr>
          <w:p w14:paraId="5137127C" w14:textId="116CDAEB" w:rsidR="008E0DEC" w:rsidRPr="00190C61" w:rsidRDefault="008E0DEC" w:rsidP="00CD472C">
            <w:pPr>
              <w:pStyle w:val="NoSpacing"/>
              <w:rPr>
                <w:rFonts w:ascii="Arial" w:hAnsi="Arial" w:cs="Arial"/>
                <w:b/>
                <w:bCs/>
                <w:color w:val="FF0000"/>
                <w:sz w:val="32"/>
                <w:szCs w:val="32"/>
              </w:rPr>
            </w:pPr>
            <w:r>
              <w:rPr>
                <w:rFonts w:ascii="Arial" w:hAnsi="Arial" w:cs="Arial"/>
                <w:b/>
                <w:bCs/>
                <w:color w:val="FFFFFF" w:themeColor="background1"/>
                <w:sz w:val="32"/>
                <w:szCs w:val="32"/>
              </w:rPr>
              <w:t>Single Audits and Peer Review</w:t>
            </w:r>
          </w:p>
        </w:tc>
      </w:tr>
    </w:tbl>
    <w:p w14:paraId="76A342B5" w14:textId="50C74EA4" w:rsidR="008E0DEC" w:rsidRDefault="008E0DEC" w:rsidP="008E0DEC">
      <w:pPr>
        <w:pStyle w:val="NoSpacing"/>
        <w:rPr>
          <w:rFonts w:ascii="Arial" w:hAnsi="Arial" w:cs="Arial"/>
          <w:b/>
          <w:bCs/>
          <w:iCs/>
          <w:color w:val="005BBB"/>
          <w:sz w:val="8"/>
          <w:szCs w:val="8"/>
        </w:rPr>
      </w:pPr>
    </w:p>
    <w:p w14:paraId="22D23549" w14:textId="0012AC3B" w:rsidR="008E0DEC" w:rsidRPr="008E0DEC" w:rsidRDefault="008E0DEC" w:rsidP="008E0DEC">
      <w:pPr>
        <w:pStyle w:val="NoSpacing"/>
        <w:rPr>
          <w:rFonts w:ascii="Arial" w:hAnsi="Arial" w:cs="Arial"/>
          <w:b/>
          <w:bCs/>
          <w:iCs/>
          <w:color w:val="005BBB"/>
          <w:sz w:val="22"/>
        </w:rPr>
      </w:pPr>
      <w:r w:rsidRPr="008E0DEC">
        <w:rPr>
          <w:rFonts w:ascii="Arial" w:hAnsi="Arial" w:cs="Arial"/>
          <w:b/>
          <w:bCs/>
          <w:iCs/>
          <w:color w:val="005BBB"/>
          <w:sz w:val="22"/>
        </w:rPr>
        <w:t>Are your Clients Requesting New Single Audit Services?</w:t>
      </w:r>
    </w:p>
    <w:p w14:paraId="08AC165D" w14:textId="32B532E8" w:rsidR="008E0DEC" w:rsidRPr="00DA18EE" w:rsidRDefault="008E0DEC" w:rsidP="008E0DEC">
      <w:pPr>
        <w:pStyle w:val="NoSpacing"/>
        <w:rPr>
          <w:rFonts w:ascii="Arial" w:hAnsi="Arial" w:cs="Arial"/>
          <w:b/>
          <w:bCs/>
          <w:iCs/>
          <w:color w:val="005BBB"/>
          <w:sz w:val="8"/>
          <w:szCs w:val="8"/>
        </w:rPr>
      </w:pPr>
    </w:p>
    <w:p w14:paraId="4CE2A30F" w14:textId="67660482" w:rsidR="008E0DEC" w:rsidRPr="00DA18EE" w:rsidRDefault="004108E5" w:rsidP="008E0DEC">
      <w:pPr>
        <w:pStyle w:val="NoSpacing"/>
        <w:rPr>
          <w:rFonts w:ascii="Arial" w:hAnsi="Arial" w:cs="Arial"/>
          <w:sz w:val="22"/>
        </w:rPr>
      </w:pPr>
      <w:r w:rsidRPr="00B12BDC">
        <w:rPr>
          <w:noProof/>
          <w:sz w:val="2"/>
          <w:szCs w:val="2"/>
        </w:rPr>
        <mc:AlternateContent>
          <mc:Choice Requires="wps">
            <w:drawing>
              <wp:anchor distT="45720" distB="45720" distL="114300" distR="114300" simplePos="0" relativeHeight="251663360" behindDoc="1" locked="0" layoutInCell="1" allowOverlap="1" wp14:anchorId="07470B7C" wp14:editId="01B90247">
                <wp:simplePos x="0" y="0"/>
                <wp:positionH relativeFrom="margin">
                  <wp:posOffset>3810000</wp:posOffset>
                </wp:positionH>
                <wp:positionV relativeFrom="paragraph">
                  <wp:posOffset>5080</wp:posOffset>
                </wp:positionV>
                <wp:extent cx="3063875" cy="1943100"/>
                <wp:effectExtent l="0" t="0" r="22225" b="19050"/>
                <wp:wrapTight wrapText="bothSides">
                  <wp:wrapPolygon edited="0">
                    <wp:start x="0" y="0"/>
                    <wp:lineTo x="0" y="21600"/>
                    <wp:lineTo x="21622" y="21600"/>
                    <wp:lineTo x="2162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1943100"/>
                        </a:xfrm>
                        <a:prstGeom prst="rect">
                          <a:avLst/>
                        </a:prstGeom>
                        <a:solidFill>
                          <a:schemeClr val="bg1">
                            <a:lumMod val="95000"/>
                          </a:schemeClr>
                        </a:solidFill>
                        <a:ln w="15875">
                          <a:solidFill>
                            <a:srgbClr val="005BBB"/>
                          </a:solidFill>
                          <a:miter lim="800000"/>
                          <a:headEnd/>
                          <a:tailEnd/>
                        </a:ln>
                      </wps:spPr>
                      <wps:txbx>
                        <w:txbxContent>
                          <w:p w14:paraId="78288448" w14:textId="0028094A" w:rsidR="004108E5" w:rsidRPr="004108E5" w:rsidRDefault="004108E5" w:rsidP="004108E5">
                            <w:pPr>
                              <w:pStyle w:val="NoSpacing"/>
                              <w:rPr>
                                <w:rFonts w:ascii="Arial" w:hAnsi="Arial" w:cs="Arial"/>
                                <w:b/>
                                <w:bCs/>
                                <w:iCs/>
                                <w:color w:val="005BBB"/>
                                <w:sz w:val="22"/>
                              </w:rPr>
                            </w:pPr>
                            <w:r w:rsidRPr="004108E5">
                              <w:rPr>
                                <w:rFonts w:ascii="Arial" w:hAnsi="Arial" w:cs="Arial"/>
                                <w:b/>
                                <w:bCs/>
                                <w:iCs/>
                                <w:color w:val="005BBB"/>
                                <w:sz w:val="22"/>
                              </w:rPr>
                              <w:t>Peer Review Reminder!!!</w:t>
                            </w:r>
                          </w:p>
                          <w:p w14:paraId="1AF8FD61" w14:textId="125D5F42" w:rsidR="004108E5" w:rsidRPr="00431684" w:rsidRDefault="004108E5" w:rsidP="004108E5">
                            <w:pPr>
                              <w:pStyle w:val="NoSpacing"/>
                              <w:rPr>
                                <w:rFonts w:ascii="Arial" w:hAnsi="Arial" w:cs="Arial"/>
                                <w:sz w:val="8"/>
                                <w:szCs w:val="8"/>
                              </w:rPr>
                            </w:pPr>
                          </w:p>
                          <w:p w14:paraId="57D31036" w14:textId="77777777" w:rsidR="004108E5" w:rsidRDefault="004108E5" w:rsidP="004108E5">
                            <w:pPr>
                              <w:pStyle w:val="NoSpacing"/>
                              <w:rPr>
                                <w:rFonts w:ascii="Arial" w:hAnsi="Arial" w:cs="Arial"/>
                                <w:sz w:val="22"/>
                              </w:rPr>
                            </w:pPr>
                            <w:r w:rsidRPr="004108E5">
                              <w:rPr>
                                <w:rFonts w:ascii="Arial" w:hAnsi="Arial" w:cs="Arial"/>
                                <w:sz w:val="22"/>
                              </w:rPr>
                              <w:t xml:space="preserve">While peer reviews, corrective actions and implementation plans are no longer receiving automatic due date extensions, extensions </w:t>
                            </w:r>
                            <w:r>
                              <w:rPr>
                                <w:rFonts w:ascii="Arial" w:hAnsi="Arial" w:cs="Arial"/>
                                <w:sz w:val="22"/>
                              </w:rPr>
                              <w:t>may be granted in certain circumstances.</w:t>
                            </w:r>
                          </w:p>
                          <w:p w14:paraId="44A2DBB4" w14:textId="77777777" w:rsidR="004108E5" w:rsidRDefault="004108E5" w:rsidP="004108E5">
                            <w:pPr>
                              <w:pStyle w:val="NoSpacing"/>
                              <w:rPr>
                                <w:rFonts w:ascii="Arial" w:hAnsi="Arial" w:cs="Arial"/>
                                <w:sz w:val="22"/>
                              </w:rPr>
                            </w:pPr>
                          </w:p>
                          <w:p w14:paraId="07AF13AC" w14:textId="70A4BC31" w:rsidR="004108E5" w:rsidRDefault="004108E5" w:rsidP="004108E5">
                            <w:pPr>
                              <w:pStyle w:val="NoSpacing"/>
                              <w:rPr>
                                <w:rFonts w:ascii="Arial" w:hAnsi="Arial" w:cs="Arial"/>
                                <w:sz w:val="22"/>
                              </w:rPr>
                            </w:pPr>
                            <w:r>
                              <w:rPr>
                                <w:rFonts w:ascii="Arial" w:hAnsi="Arial" w:cs="Arial"/>
                                <w:sz w:val="22"/>
                              </w:rPr>
                              <w:t xml:space="preserve">Given this, 2021 is expected to be a busy year for peer reviewers. The AICPA is encouraging </w:t>
                            </w:r>
                            <w:r w:rsidR="00431684">
                              <w:rPr>
                                <w:rFonts w:ascii="Arial" w:hAnsi="Arial" w:cs="Arial"/>
                                <w:sz w:val="22"/>
                              </w:rPr>
                              <w:t>firms to be proactive in scheduling their peer reviews!</w:t>
                            </w:r>
                          </w:p>
                          <w:p w14:paraId="065A5799" w14:textId="77777777" w:rsidR="004108E5" w:rsidRPr="00280C9B" w:rsidRDefault="004108E5" w:rsidP="004108E5">
                            <w:pPr>
                              <w:rPr>
                                <w:rFonts w:ascii="Arial" w:hAnsi="Arial" w:cs="Arial"/>
                                <w:b/>
                                <w:bCs/>
                                <w:color w:val="005BB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470B7C" id="_x0000_t202" coordsize="21600,21600" o:spt="202" path="m,l,21600r21600,l21600,xe">
                <v:stroke joinstyle="miter"/>
                <v:path gradientshapeok="t" o:connecttype="rect"/>
              </v:shapetype>
              <v:shape id="Text Box 2" o:spid="_x0000_s1026" type="#_x0000_t202" style="position:absolute;margin-left:300pt;margin-top:.4pt;width:241.25pt;height:153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" fillcolor="#f2f2f2 [3052]" strokecolor="#005bbb" strokeweight="1.25pt">
                <v:textbox>
                  <w:txbxContent>
                    <w:p w14:paraId="78288448" w14:textId="0028094A" w:rsidR="004108E5" w:rsidRPr="004108E5" w:rsidRDefault="004108E5" w:rsidP="004108E5">
                      <w:pPr>
                        <w:pStyle w:val="NoSpacing"/>
                        <w:rPr>
                          <w:rFonts w:ascii="Arial" w:hAnsi="Arial" w:cs="Arial"/>
                          <w:b/>
                          <w:bCs/>
                          <w:iCs/>
                          <w:color w:val="005BBB"/>
                          <w:sz w:val="22"/>
                        </w:rPr>
                      </w:pPr>
                      <w:r w:rsidRPr="004108E5">
                        <w:rPr>
                          <w:rFonts w:ascii="Arial" w:hAnsi="Arial" w:cs="Arial"/>
                          <w:b/>
                          <w:bCs/>
                          <w:iCs/>
                          <w:color w:val="005BBB"/>
                          <w:sz w:val="22"/>
                        </w:rPr>
                        <w:t>Peer Review Reminder!!!</w:t>
                      </w:r>
                    </w:p>
                    <w:p w14:paraId="1AF8FD61" w14:textId="125D5F42" w:rsidR="004108E5" w:rsidRPr="00431684" w:rsidRDefault="004108E5" w:rsidP="004108E5">
                      <w:pPr>
                        <w:pStyle w:val="NoSpacing"/>
                        <w:rPr>
                          <w:rFonts w:ascii="Arial" w:hAnsi="Arial" w:cs="Arial"/>
                          <w:sz w:val="8"/>
                          <w:szCs w:val="8"/>
                        </w:rPr>
                      </w:pPr>
                    </w:p>
                    <w:p w14:paraId="57D31036" w14:textId="77777777" w:rsidR="004108E5" w:rsidRDefault="004108E5" w:rsidP="004108E5">
                      <w:pPr>
                        <w:pStyle w:val="NoSpacing"/>
                        <w:rPr>
                          <w:rFonts w:ascii="Arial" w:hAnsi="Arial" w:cs="Arial"/>
                          <w:sz w:val="22"/>
                        </w:rPr>
                      </w:pPr>
                      <w:r w:rsidRPr="004108E5">
                        <w:rPr>
                          <w:rFonts w:ascii="Arial" w:hAnsi="Arial" w:cs="Arial"/>
                          <w:sz w:val="22"/>
                        </w:rPr>
                        <w:t xml:space="preserve">While peer reviews, corrective actions and implementation plans are no longer receiving automatic due date extensions, extensions </w:t>
                      </w:r>
                      <w:r>
                        <w:rPr>
                          <w:rFonts w:ascii="Arial" w:hAnsi="Arial" w:cs="Arial"/>
                          <w:sz w:val="22"/>
                        </w:rPr>
                        <w:t>may be granted in certain circumstances.</w:t>
                      </w:r>
                    </w:p>
                    <w:p w14:paraId="44A2DBB4" w14:textId="77777777" w:rsidR="004108E5" w:rsidRDefault="004108E5" w:rsidP="004108E5">
                      <w:pPr>
                        <w:pStyle w:val="NoSpacing"/>
                        <w:rPr>
                          <w:rFonts w:ascii="Arial" w:hAnsi="Arial" w:cs="Arial"/>
                          <w:sz w:val="22"/>
                        </w:rPr>
                      </w:pPr>
                    </w:p>
                    <w:p w14:paraId="07AF13AC" w14:textId="70A4BC31" w:rsidR="004108E5" w:rsidRDefault="004108E5" w:rsidP="004108E5">
                      <w:pPr>
                        <w:pStyle w:val="NoSpacing"/>
                        <w:rPr>
                          <w:rFonts w:ascii="Arial" w:hAnsi="Arial" w:cs="Arial"/>
                          <w:sz w:val="22"/>
                        </w:rPr>
                      </w:pPr>
                      <w:r>
                        <w:rPr>
                          <w:rFonts w:ascii="Arial" w:hAnsi="Arial" w:cs="Arial"/>
                          <w:sz w:val="22"/>
                        </w:rPr>
                        <w:t xml:space="preserve">Given this, 2021 is expected to be a busy year for peer reviewers. The AICPA is encouraging </w:t>
                      </w:r>
                      <w:r w:rsidR="00431684">
                        <w:rPr>
                          <w:rFonts w:ascii="Arial" w:hAnsi="Arial" w:cs="Arial"/>
                          <w:sz w:val="22"/>
                        </w:rPr>
                        <w:t>firms to be proactive in scheduling their peer reviews!</w:t>
                      </w:r>
                    </w:p>
                    <w:p w14:paraId="065A5799" w14:textId="77777777" w:rsidR="004108E5" w:rsidRPr="00280C9B" w:rsidRDefault="004108E5" w:rsidP="004108E5">
                      <w:pPr>
                        <w:rPr>
                          <w:rFonts w:ascii="Arial" w:hAnsi="Arial" w:cs="Arial"/>
                          <w:b/>
                          <w:bCs/>
                          <w:color w:val="005BBB"/>
                          <w:sz w:val="16"/>
                          <w:szCs w:val="16"/>
                        </w:rPr>
                      </w:pPr>
                    </w:p>
                  </w:txbxContent>
                </v:textbox>
                <w10:wrap type="tight" anchorx="margin"/>
              </v:shape>
            </w:pict>
          </mc:Fallback>
        </mc:AlternateContent>
      </w:r>
      <w:r w:rsidR="008E0DEC" w:rsidRPr="00DA18EE">
        <w:rPr>
          <w:rFonts w:ascii="Arial" w:hAnsi="Arial" w:cs="Arial"/>
          <w:sz w:val="22"/>
        </w:rPr>
        <w:t xml:space="preserve">The Coronavirus Aid, Relief, and Economic Security (CARES) Act allocated significant amounts of money in new aid to non-federal entities requiring many of them to complete a single audit perhaps for the first time. A single audit also requires the financial statement audit to be performed under </w:t>
      </w:r>
      <w:r w:rsidR="008E0DEC" w:rsidRPr="00DA18EE">
        <w:rPr>
          <w:rFonts w:ascii="Arial" w:hAnsi="Arial" w:cs="Arial"/>
          <w:i/>
          <w:iCs/>
          <w:sz w:val="22"/>
        </w:rPr>
        <w:t>Government Auditing Standards</w:t>
      </w:r>
      <w:r w:rsidR="008E0DEC" w:rsidRPr="00DA18EE">
        <w:rPr>
          <w:rFonts w:ascii="Arial" w:hAnsi="Arial" w:cs="Arial"/>
          <w:sz w:val="22"/>
        </w:rPr>
        <w:t xml:space="preserve"> (GAS). You may be asked to perform single audit engagements as your clients navigate the requirements of the CARES Act. Single audits are complex highly specialized audits focused on compliance with federal laws or regulations (and internal controls to ensure compliance) that apply to specific federal funds. If your firm performs a single audit engagement, it will be required to have a system review, which includes a review of at least one single audit engagement (or the audit of those compliance requirements and internal controls over compliance with those requirements). Please let us know if you plan to perform these services, and make sure to update your Peer Review Information (PRI) form in PRIMA to reflect single audit engagements!</w:t>
      </w:r>
    </w:p>
    <w:p w14:paraId="2D9655E9" w14:textId="77777777" w:rsidR="008E0DEC" w:rsidRPr="00DA18EE" w:rsidRDefault="008E0DEC" w:rsidP="008E0DEC">
      <w:pPr>
        <w:pStyle w:val="NoSpacing"/>
        <w:rPr>
          <w:rFonts w:ascii="Arial" w:hAnsi="Arial" w:cs="Arial"/>
          <w:sz w:val="22"/>
        </w:rPr>
      </w:pPr>
    </w:p>
    <w:p w14:paraId="7B6A8EDA" w14:textId="4F1878CE" w:rsidR="008E0DEC" w:rsidRDefault="008E0DEC" w:rsidP="008E0DEC">
      <w:pPr>
        <w:pStyle w:val="NoSpacing"/>
        <w:rPr>
          <w:rFonts w:ascii="Arial" w:hAnsi="Arial" w:cs="Arial"/>
          <w:sz w:val="22"/>
        </w:rPr>
      </w:pPr>
      <w:r w:rsidRPr="00DA18EE">
        <w:rPr>
          <w:rFonts w:ascii="Arial" w:hAnsi="Arial" w:cs="Arial"/>
          <w:sz w:val="22"/>
        </w:rPr>
        <w:t xml:space="preserve">For more information on single audits visit the </w:t>
      </w:r>
      <w:hyperlink r:id="rId11" w:history="1">
        <w:r w:rsidRPr="00DA18EE">
          <w:rPr>
            <w:rStyle w:val="Hyperlink"/>
            <w:rFonts w:ascii="Arial" w:hAnsi="Arial" w:cs="Arial"/>
            <w:sz w:val="22"/>
          </w:rPr>
          <w:t>Governmental Audit Quality Center</w:t>
        </w:r>
      </w:hyperlink>
      <w:r w:rsidRPr="00DA18EE">
        <w:rPr>
          <w:rFonts w:ascii="Arial" w:hAnsi="Arial" w:cs="Arial"/>
          <w:sz w:val="22"/>
        </w:rPr>
        <w:t xml:space="preserve">, including its </w:t>
      </w:r>
      <w:hyperlink r:id="rId12" w:anchor="COVID" w:history="1">
        <w:r w:rsidRPr="00DA18EE">
          <w:rPr>
            <w:rStyle w:val="Hyperlink"/>
            <w:rFonts w:ascii="Arial" w:hAnsi="Arial" w:cs="Arial"/>
            <w:sz w:val="22"/>
          </w:rPr>
          <w:t>COVID-19 Resources</w:t>
        </w:r>
      </w:hyperlink>
      <w:r w:rsidRPr="00DA18EE">
        <w:rPr>
          <w:rFonts w:ascii="Arial" w:hAnsi="Arial" w:cs="Arial"/>
          <w:sz w:val="22"/>
        </w:rPr>
        <w:t xml:space="preserve"> page.</w:t>
      </w:r>
    </w:p>
    <w:p w14:paraId="72513CA9" w14:textId="77777777" w:rsidR="008E0DEC" w:rsidRDefault="008E0DEC" w:rsidP="008E0DEC">
      <w:pPr>
        <w:pStyle w:val="NoSpacing"/>
        <w:rPr>
          <w:rFonts w:ascii="Arial" w:hAnsi="Arial" w:cs="Arial"/>
          <w:b/>
          <w:bCs/>
          <w:iCs/>
          <w:color w:val="005BBB"/>
          <w:sz w:val="22"/>
        </w:rPr>
      </w:pPr>
    </w:p>
    <w:p w14:paraId="00933F91" w14:textId="522A0993" w:rsidR="008E0DEC" w:rsidRPr="008E0DEC" w:rsidRDefault="008E0DEC" w:rsidP="008E0DEC">
      <w:pPr>
        <w:pStyle w:val="NoSpacing"/>
        <w:rPr>
          <w:rFonts w:ascii="Arial" w:hAnsi="Arial" w:cs="Arial"/>
          <w:b/>
          <w:bCs/>
          <w:iCs/>
          <w:color w:val="005BBB"/>
          <w:sz w:val="22"/>
        </w:rPr>
      </w:pPr>
      <w:r>
        <w:rPr>
          <w:rFonts w:ascii="Arial" w:hAnsi="Arial" w:cs="Arial"/>
          <w:b/>
          <w:bCs/>
          <w:iCs/>
          <w:color w:val="005BBB"/>
          <w:sz w:val="22"/>
        </w:rPr>
        <w:t>Do COVID-19 Funds Bring Peer Review Requirements?</w:t>
      </w:r>
    </w:p>
    <w:p w14:paraId="3E4FC819" w14:textId="77777777" w:rsidR="008E0DEC" w:rsidRPr="008E0DEC" w:rsidRDefault="008E0DEC" w:rsidP="008E0DEC">
      <w:pPr>
        <w:widowControl/>
        <w:autoSpaceDE/>
        <w:autoSpaceDN/>
        <w:adjustRightInd/>
        <w:spacing w:after="0"/>
        <w:rPr>
          <w:rFonts w:ascii="Arial" w:hAnsi="Arial" w:cs="Arial"/>
          <w:sz w:val="8"/>
          <w:szCs w:val="8"/>
        </w:rPr>
      </w:pPr>
    </w:p>
    <w:p w14:paraId="58BC03F3" w14:textId="0BB0C061" w:rsidR="008E0DEC" w:rsidRPr="004214ED" w:rsidRDefault="008E0DEC" w:rsidP="008E0DEC">
      <w:pPr>
        <w:widowControl/>
        <w:autoSpaceDE/>
        <w:autoSpaceDN/>
        <w:adjustRightInd/>
        <w:spacing w:after="0"/>
        <w:rPr>
          <w:rFonts w:ascii="Arial" w:hAnsi="Arial" w:cs="Arial"/>
        </w:rPr>
      </w:pPr>
      <w:r w:rsidRPr="00E6562D">
        <w:rPr>
          <w:rFonts w:ascii="Arial" w:hAnsi="Arial" w:cs="Arial"/>
        </w:rPr>
        <w:t>A common question CPA firms are asking AICPA peer review staff is related to Paycheck Protection Program (PPP) loan forgiveness services and whether they are performing an engagement subject to peer review. You may be asked to check calculations performed by your client for accuracy and issue a report on your findings. This may indicate an agreed-upon procedures engagement is needed or has been performed. If your firm is not otherwise subject to peer review</w:t>
      </w:r>
      <w:r>
        <w:rPr>
          <w:rFonts w:ascii="Arial" w:hAnsi="Arial" w:cs="Arial"/>
        </w:rPr>
        <w:t>,</w:t>
      </w:r>
      <w:r w:rsidRPr="00E6562D">
        <w:rPr>
          <w:rFonts w:ascii="Arial" w:hAnsi="Arial" w:cs="Arial"/>
        </w:rPr>
        <w:t xml:space="preserve"> the performance of an agreed-upon procedures engagement under the Statements on Standards for Attestation Engagements (SSAEs) would require </w:t>
      </w:r>
      <w:r w:rsidR="00106397">
        <w:rPr>
          <w:rFonts w:ascii="Arial" w:hAnsi="Arial" w:cs="Arial"/>
        </w:rPr>
        <w:t>your</w:t>
      </w:r>
      <w:r w:rsidRPr="00E6562D">
        <w:rPr>
          <w:rFonts w:ascii="Arial" w:hAnsi="Arial" w:cs="Arial"/>
        </w:rPr>
        <w:t xml:space="preserve"> firm to undergo an engagement review.</w:t>
      </w:r>
      <w:r w:rsidR="004214ED">
        <w:rPr>
          <w:rFonts w:ascii="Arial" w:hAnsi="Arial" w:cs="Arial"/>
        </w:rPr>
        <w:t xml:space="preserve"> If you need help determining whether you</w:t>
      </w:r>
      <w:r w:rsidR="00FE7A4E">
        <w:rPr>
          <w:rFonts w:ascii="Arial" w:hAnsi="Arial" w:cs="Arial"/>
        </w:rPr>
        <w:t xml:space="preserve">’ve performed an </w:t>
      </w:r>
      <w:r w:rsidR="004214ED">
        <w:rPr>
          <w:rFonts w:ascii="Arial" w:hAnsi="Arial" w:cs="Arial"/>
        </w:rPr>
        <w:t xml:space="preserve">agreed-upon procedure, call the AICPA A&amp;A Technical Hotline at </w:t>
      </w:r>
      <w:r w:rsidR="004214ED" w:rsidRPr="004214ED">
        <w:rPr>
          <w:rFonts w:ascii="Arial" w:hAnsi="Arial" w:cs="Arial"/>
          <w:color w:val="222222"/>
          <w:shd w:val="clear" w:color="auto" w:fill="FFFFFF"/>
        </w:rPr>
        <w:t>877.242.7212</w:t>
      </w:r>
      <w:r w:rsidR="004214ED">
        <w:rPr>
          <w:rFonts w:ascii="Arial" w:hAnsi="Arial" w:cs="Arial"/>
          <w:color w:val="222222"/>
          <w:shd w:val="clear" w:color="auto" w:fill="FFFFFF"/>
        </w:rPr>
        <w:t>. If you need help determining whether your firm needs a peer review, call the AICPA Peer Review Team at 919.402.4502.</w:t>
      </w:r>
    </w:p>
    <w:p w14:paraId="71156D75" w14:textId="77777777" w:rsidR="004214ED" w:rsidRDefault="004214ED" w:rsidP="008E0DEC">
      <w:pPr>
        <w:widowControl/>
        <w:autoSpaceDE/>
        <w:autoSpaceDN/>
        <w:adjustRightInd/>
        <w:spacing w:after="0"/>
        <w:rPr>
          <w:rFonts w:ascii="Arial" w:hAnsi="Arial" w:cs="Arial"/>
        </w:rPr>
      </w:pPr>
    </w:p>
    <w:p w14:paraId="3FF07737" w14:textId="067FD4DA" w:rsidR="008E0DEC" w:rsidRDefault="008E0DEC" w:rsidP="008E0DEC">
      <w:pPr>
        <w:widowControl/>
        <w:autoSpaceDE/>
        <w:autoSpaceDN/>
        <w:adjustRightInd/>
        <w:spacing w:after="0"/>
        <w:rPr>
          <w:rFonts w:ascii="Arial" w:hAnsi="Arial" w:cs="Arial"/>
        </w:rPr>
      </w:pPr>
      <w:r w:rsidRPr="00E6562D">
        <w:rPr>
          <w:rFonts w:ascii="Arial" w:hAnsi="Arial" w:cs="Arial"/>
        </w:rPr>
        <w:t xml:space="preserve">Refer to the </w:t>
      </w:r>
      <w:hyperlink r:id="rId13" w:history="1">
        <w:r w:rsidRPr="00E6562D">
          <w:rPr>
            <w:rFonts w:ascii="Arial" w:hAnsi="Arial" w:cs="Arial"/>
            <w:color w:val="0046AD"/>
            <w:u w:val="single"/>
          </w:rPr>
          <w:t>PPP loan forgiveness services matrix</w:t>
        </w:r>
      </w:hyperlink>
      <w:r w:rsidRPr="00E6562D">
        <w:rPr>
          <w:rFonts w:ascii="Arial" w:hAnsi="Arial" w:cs="Arial"/>
        </w:rPr>
        <w:t xml:space="preserve"> for a tool to help firms navigate their engagements or other services around documenting expenses related to PPP forgiveness. See also </w:t>
      </w:r>
      <w:hyperlink r:id="rId14" w:history="1">
        <w:r w:rsidRPr="00E6562D">
          <w:rPr>
            <w:rFonts w:ascii="Arial" w:hAnsi="Arial" w:cs="Arial"/>
            <w:color w:val="0046AD"/>
            <w:u w:val="single"/>
          </w:rPr>
          <w:t>SBA Paycheck Protection Program (PPP) resources for CPAs</w:t>
        </w:r>
      </w:hyperlink>
      <w:r w:rsidRPr="00E6562D">
        <w:rPr>
          <w:rFonts w:ascii="Arial" w:hAnsi="Arial" w:cs="Arial"/>
        </w:rPr>
        <w:t xml:space="preserve"> to access additional information on the program.  </w:t>
      </w:r>
    </w:p>
    <w:p w14:paraId="5A311BD6" w14:textId="77777777" w:rsidR="008E0DEC" w:rsidRPr="008E0DEC" w:rsidRDefault="008E0DEC" w:rsidP="008E0DEC">
      <w:pPr>
        <w:pStyle w:val="NoSpacing"/>
        <w:rPr>
          <w:rFonts w:ascii="Arial" w:hAnsi="Arial" w:cs="Arial"/>
          <w:sz w:val="32"/>
          <w:szCs w:val="32"/>
        </w:rPr>
      </w:pPr>
    </w:p>
    <w:p w14:paraId="4E1630A8" w14:textId="77777777" w:rsidR="004214ED" w:rsidRDefault="00431684">
      <w:bookmarkStart w:id="0" w:name="_Hlk71645239"/>
      <w:r>
        <w:rPr>
          <w:noProof/>
        </w:rPr>
        <w:drawing>
          <wp:inline distT="0" distB="0" distL="0" distR="0" wp14:anchorId="4F1161B9" wp14:editId="44C701DC">
            <wp:extent cx="6981825" cy="169026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stretch>
                      <a:fillRect/>
                    </a:stretch>
                  </pic:blipFill>
                  <pic:spPr>
                    <a:xfrm>
                      <a:off x="0" y="0"/>
                      <a:ext cx="7004555" cy="1695769"/>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BBB"/>
        <w:tblLook w:val="04A0" w:firstRow="1" w:lastRow="0" w:firstColumn="1" w:lastColumn="0" w:noHBand="0" w:noVBand="1"/>
      </w:tblPr>
      <w:tblGrid>
        <w:gridCol w:w="10790"/>
      </w:tblGrid>
      <w:tr w:rsidR="004214ED" w14:paraId="61D790AA" w14:textId="77777777" w:rsidTr="00DA3775">
        <w:trPr>
          <w:trHeight w:val="576"/>
        </w:trPr>
        <w:tc>
          <w:tcPr>
            <w:tcW w:w="10790" w:type="dxa"/>
            <w:shd w:val="clear" w:color="auto" w:fill="005BBB"/>
            <w:vAlign w:val="center"/>
          </w:tcPr>
          <w:p w14:paraId="0D3FC0E4" w14:textId="77777777" w:rsidR="004214ED" w:rsidRPr="00190C61" w:rsidRDefault="004214ED" w:rsidP="00DA3775">
            <w:pPr>
              <w:pStyle w:val="NoSpacing"/>
              <w:rPr>
                <w:rFonts w:ascii="Arial" w:hAnsi="Arial" w:cs="Arial"/>
                <w:b/>
                <w:bCs/>
                <w:color w:val="FF0000"/>
                <w:sz w:val="32"/>
                <w:szCs w:val="32"/>
              </w:rPr>
            </w:pPr>
            <w:bookmarkStart w:id="1" w:name="_Hlk72236675"/>
            <w:r>
              <w:rPr>
                <w:rFonts w:ascii="Arial" w:hAnsi="Arial" w:cs="Arial"/>
                <w:b/>
                <w:bCs/>
                <w:color w:val="FFFFFF" w:themeColor="background1"/>
                <w:sz w:val="32"/>
                <w:szCs w:val="32"/>
              </w:rPr>
              <w:lastRenderedPageBreak/>
              <w:t>Resources from the AICPA’s Enhancing Audit Quality (EAQ) Initiative</w:t>
            </w:r>
          </w:p>
        </w:tc>
      </w:tr>
      <w:bookmarkEnd w:id="1"/>
    </w:tbl>
    <w:p w14:paraId="25D5BF8C" w14:textId="77777777" w:rsidR="004214ED" w:rsidRDefault="004214ED" w:rsidP="004214ED">
      <w:pPr>
        <w:pStyle w:val="NoSpacing"/>
        <w:rPr>
          <w:rFonts w:ascii="Arial" w:hAnsi="Arial" w:cs="Arial"/>
          <w:sz w:val="8"/>
          <w:szCs w:val="8"/>
        </w:rPr>
      </w:pPr>
    </w:p>
    <w:p w14:paraId="14222605" w14:textId="77777777" w:rsidR="004214ED" w:rsidRPr="0014777B" w:rsidRDefault="004214ED" w:rsidP="004214ED">
      <w:pPr>
        <w:pStyle w:val="NoSpacing"/>
        <w:rPr>
          <w:rFonts w:ascii="Arial" w:hAnsi="Arial" w:cs="Arial"/>
          <w:sz w:val="22"/>
        </w:rPr>
      </w:pPr>
      <w:r w:rsidRPr="0014777B">
        <w:rPr>
          <w:rFonts w:ascii="Arial" w:hAnsi="Arial" w:cs="Arial"/>
          <w:sz w:val="22"/>
        </w:rPr>
        <w:t xml:space="preserve">Through the </w:t>
      </w:r>
      <w:hyperlink r:id="rId16" w:history="1">
        <w:r w:rsidRPr="0014777B">
          <w:rPr>
            <w:rStyle w:val="Hyperlink"/>
            <w:rFonts w:ascii="Arial" w:hAnsi="Arial" w:cs="Arial"/>
            <w:sz w:val="22"/>
          </w:rPr>
          <w:t>Enhancing Audit Quality Initiative (EAQ)</w:t>
        </w:r>
      </w:hyperlink>
      <w:r w:rsidRPr="0014777B">
        <w:rPr>
          <w:rFonts w:ascii="Arial" w:hAnsi="Arial" w:cs="Arial"/>
          <w:sz w:val="22"/>
        </w:rPr>
        <w:t>, the AICPA shares resources and education to help you avoid the most common audit quality issues. Check out their latest resources:</w:t>
      </w:r>
    </w:p>
    <w:p w14:paraId="7D193E37" w14:textId="77777777" w:rsidR="004214ED" w:rsidRDefault="004214ED" w:rsidP="004214ED">
      <w:pPr>
        <w:pStyle w:val="NoSpacing"/>
        <w:rPr>
          <w:rFonts w:ascii="Arial" w:hAnsi="Arial" w:cs="Arial"/>
          <w:b/>
          <w:bCs/>
          <w:iCs/>
          <w:color w:val="005BBB"/>
          <w:sz w:val="22"/>
        </w:rPr>
      </w:pPr>
    </w:p>
    <w:p w14:paraId="4C74D138" w14:textId="77777777" w:rsidR="004214ED" w:rsidRDefault="004214ED" w:rsidP="004214ED">
      <w:pPr>
        <w:pStyle w:val="NoSpacing"/>
        <w:rPr>
          <w:rFonts w:ascii="Arial" w:hAnsi="Arial" w:cs="Arial"/>
          <w:b/>
          <w:bCs/>
          <w:iCs/>
          <w:color w:val="005BBB"/>
          <w:sz w:val="8"/>
          <w:szCs w:val="8"/>
        </w:rPr>
      </w:pPr>
      <w:r w:rsidRPr="0014777B">
        <w:rPr>
          <w:rFonts w:ascii="Arial" w:hAnsi="Arial" w:cs="Arial"/>
          <w:b/>
          <w:bCs/>
          <w:iCs/>
          <w:color w:val="005BBB"/>
          <w:sz w:val="22"/>
        </w:rPr>
        <w:t>COVID-19 Audit Implications</w:t>
      </w:r>
    </w:p>
    <w:p w14:paraId="388B3A52" w14:textId="77777777" w:rsidR="004214ED" w:rsidRPr="0014777B" w:rsidRDefault="004214ED" w:rsidP="004214ED">
      <w:pPr>
        <w:pStyle w:val="NoSpacing"/>
        <w:rPr>
          <w:rFonts w:ascii="Arial" w:hAnsi="Arial" w:cs="Arial"/>
          <w:b/>
          <w:bCs/>
          <w:iCs/>
          <w:color w:val="005BBB"/>
          <w:sz w:val="8"/>
          <w:szCs w:val="8"/>
        </w:rPr>
      </w:pPr>
    </w:p>
    <w:p w14:paraId="5049219F" w14:textId="77777777" w:rsidR="004214ED" w:rsidRPr="0014777B" w:rsidRDefault="004214ED" w:rsidP="004214ED">
      <w:pPr>
        <w:pStyle w:val="NoSpacing"/>
        <w:rPr>
          <w:rFonts w:ascii="Arial" w:hAnsi="Arial" w:cs="Arial"/>
          <w:sz w:val="22"/>
        </w:rPr>
      </w:pPr>
      <w:r w:rsidRPr="00B12BDC">
        <w:rPr>
          <w:noProof/>
          <w:sz w:val="2"/>
          <w:szCs w:val="2"/>
        </w:rPr>
        <mc:AlternateContent>
          <mc:Choice Requires="wps">
            <w:drawing>
              <wp:anchor distT="45720" distB="45720" distL="114300" distR="114300" simplePos="0" relativeHeight="251665408" behindDoc="1" locked="0" layoutInCell="1" allowOverlap="1" wp14:anchorId="38F9D8F8" wp14:editId="640581A0">
                <wp:simplePos x="0" y="0"/>
                <wp:positionH relativeFrom="margin">
                  <wp:align>right</wp:align>
                </wp:positionH>
                <wp:positionV relativeFrom="paragraph">
                  <wp:posOffset>6985</wp:posOffset>
                </wp:positionV>
                <wp:extent cx="2806700" cy="5994400"/>
                <wp:effectExtent l="0" t="0" r="12700" b="25400"/>
                <wp:wrapTight wrapText="bothSides">
                  <wp:wrapPolygon edited="0">
                    <wp:start x="0" y="0"/>
                    <wp:lineTo x="0" y="21623"/>
                    <wp:lineTo x="21551" y="21623"/>
                    <wp:lineTo x="2155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5994400"/>
                        </a:xfrm>
                        <a:prstGeom prst="rect">
                          <a:avLst/>
                        </a:prstGeom>
                        <a:solidFill>
                          <a:schemeClr val="bg1">
                            <a:lumMod val="95000"/>
                          </a:schemeClr>
                        </a:solidFill>
                        <a:ln w="15875">
                          <a:solidFill>
                            <a:srgbClr val="005BBB"/>
                          </a:solidFill>
                          <a:miter lim="800000"/>
                          <a:headEnd/>
                          <a:tailEnd/>
                        </a:ln>
                      </wps:spPr>
                      <wps:txbx>
                        <w:txbxContent>
                          <w:p w14:paraId="44556C4E" w14:textId="77777777" w:rsidR="004214ED" w:rsidRPr="00F4054A" w:rsidRDefault="004214ED" w:rsidP="004214ED">
                            <w:pPr>
                              <w:rPr>
                                <w:rFonts w:ascii="Arial" w:hAnsi="Arial" w:cs="Arial"/>
                                <w:b/>
                                <w:bCs/>
                                <w:color w:val="005BBB"/>
                              </w:rPr>
                            </w:pPr>
                            <w:r w:rsidRPr="00F4054A">
                              <w:rPr>
                                <w:rFonts w:ascii="Arial" w:hAnsi="Arial" w:cs="Arial"/>
                                <w:b/>
                                <w:bCs/>
                                <w:color w:val="005BBB"/>
                              </w:rPr>
                              <w:t xml:space="preserve">Need a </w:t>
                            </w:r>
                            <w:r>
                              <w:rPr>
                                <w:rFonts w:ascii="Arial" w:hAnsi="Arial" w:cs="Arial"/>
                                <w:b/>
                                <w:bCs/>
                                <w:color w:val="005BBB"/>
                              </w:rPr>
                              <w:t>D</w:t>
                            </w:r>
                            <w:r w:rsidRPr="00F4054A">
                              <w:rPr>
                                <w:rFonts w:ascii="Arial" w:hAnsi="Arial" w:cs="Arial"/>
                                <w:b/>
                                <w:bCs/>
                                <w:color w:val="005BBB"/>
                              </w:rPr>
                              <w:t xml:space="preserve">eeper </w:t>
                            </w:r>
                            <w:r>
                              <w:rPr>
                                <w:rFonts w:ascii="Arial" w:hAnsi="Arial" w:cs="Arial"/>
                                <w:b/>
                                <w:bCs/>
                                <w:color w:val="005BBB"/>
                              </w:rPr>
                              <w:t>D</w:t>
                            </w:r>
                            <w:r w:rsidRPr="00F4054A">
                              <w:rPr>
                                <w:rFonts w:ascii="Arial" w:hAnsi="Arial" w:cs="Arial"/>
                                <w:b/>
                                <w:bCs/>
                                <w:color w:val="005BBB"/>
                              </w:rPr>
                              <w:t>ive?</w:t>
                            </w:r>
                          </w:p>
                          <w:p w14:paraId="1C28CCEC" w14:textId="77777777" w:rsidR="004214ED" w:rsidRPr="00EF5058" w:rsidRDefault="004214ED" w:rsidP="004214ED">
                            <w:pPr>
                              <w:spacing w:after="0"/>
                              <w:rPr>
                                <w:rFonts w:ascii="Arial" w:hAnsi="Arial" w:cs="Arial"/>
                                <w:b/>
                                <w:bCs/>
                              </w:rPr>
                            </w:pPr>
                            <w:r>
                              <w:rPr>
                                <w:rFonts w:ascii="Arial" w:hAnsi="Arial" w:cs="Arial"/>
                              </w:rPr>
                              <w:t>If you prefer in-depth information on the topics discussed</w:t>
                            </w:r>
                            <w:r w:rsidRPr="00EF5058">
                              <w:rPr>
                                <w:rFonts w:ascii="Arial" w:hAnsi="Arial" w:cs="Arial"/>
                              </w:rPr>
                              <w:t xml:space="preserve">, here are </w:t>
                            </w:r>
                            <w:r>
                              <w:rPr>
                                <w:rFonts w:ascii="Arial" w:hAnsi="Arial" w:cs="Arial"/>
                              </w:rPr>
                              <w:t xml:space="preserve">some </w:t>
                            </w:r>
                            <w:r w:rsidRPr="00EF5058">
                              <w:rPr>
                                <w:rFonts w:ascii="Arial" w:hAnsi="Arial" w:cs="Arial"/>
                              </w:rPr>
                              <w:t>courses and programs from the AICPA</w:t>
                            </w:r>
                            <w:r>
                              <w:rPr>
                                <w:rFonts w:ascii="Arial" w:hAnsi="Arial" w:cs="Arial"/>
                              </w:rPr>
                              <w:t>:</w:t>
                            </w:r>
                          </w:p>
                          <w:p w14:paraId="644A3261" w14:textId="77777777" w:rsidR="004214ED" w:rsidRPr="00502589" w:rsidRDefault="004214ED" w:rsidP="004214ED">
                            <w:pPr>
                              <w:widowControl/>
                              <w:autoSpaceDE/>
                              <w:autoSpaceDN/>
                              <w:adjustRightInd/>
                              <w:spacing w:after="0"/>
                              <w:rPr>
                                <w:rFonts w:ascii="Arial" w:hAnsi="Arial" w:cs="Arial"/>
                              </w:rPr>
                            </w:pPr>
                          </w:p>
                          <w:p w14:paraId="0D7B995E" w14:textId="77777777" w:rsidR="004214ED" w:rsidRPr="00EA35C3" w:rsidRDefault="004214ED" w:rsidP="004214ED">
                            <w:pPr>
                              <w:widowControl/>
                              <w:autoSpaceDE/>
                              <w:autoSpaceDN/>
                              <w:adjustRightInd/>
                              <w:spacing w:after="0"/>
                              <w:rPr>
                                <w:rFonts w:ascii="Arial" w:hAnsi="Arial" w:cs="Arial"/>
                                <w:b/>
                                <w:bCs/>
                              </w:rPr>
                            </w:pPr>
                            <w:r w:rsidRPr="00EA35C3">
                              <w:rPr>
                                <w:rFonts w:ascii="Arial" w:hAnsi="Arial" w:cs="Arial"/>
                                <w:b/>
                                <w:bCs/>
                              </w:rPr>
                              <w:t xml:space="preserve">Digital Asset </w:t>
                            </w:r>
                          </w:p>
                          <w:p w14:paraId="59B774BA" w14:textId="77777777" w:rsidR="004214ED" w:rsidRPr="00EA35C3" w:rsidRDefault="00E23108" w:rsidP="004214ED">
                            <w:pPr>
                              <w:widowControl/>
                              <w:autoSpaceDE/>
                              <w:autoSpaceDN/>
                              <w:adjustRightInd/>
                              <w:spacing w:after="0"/>
                              <w:rPr>
                                <w:rFonts w:ascii="Arial" w:hAnsi="Arial" w:cs="Arial"/>
                              </w:rPr>
                            </w:pPr>
                            <w:hyperlink r:id="rId17" w:history="1">
                              <w:r w:rsidR="004214ED" w:rsidRPr="00502589">
                                <w:rPr>
                                  <w:rFonts w:ascii="Arial" w:hAnsi="Arial" w:cs="Arial"/>
                                  <w:color w:val="0563C1"/>
                                  <w:u w:val="single"/>
                                </w:rPr>
                                <w:t>Blockchain for Digital Assets: Accounting for Digital Assets Under U.S. GAAP</w:t>
                              </w:r>
                            </w:hyperlink>
                          </w:p>
                          <w:p w14:paraId="6E05EBA5" w14:textId="77777777" w:rsidR="004214ED" w:rsidRPr="00502589" w:rsidRDefault="004214ED" w:rsidP="004214ED">
                            <w:pPr>
                              <w:widowControl/>
                              <w:autoSpaceDE/>
                              <w:autoSpaceDN/>
                              <w:adjustRightInd/>
                              <w:spacing w:after="0"/>
                              <w:rPr>
                                <w:rFonts w:ascii="Arial" w:hAnsi="Arial" w:cs="Arial"/>
                              </w:rPr>
                            </w:pPr>
                          </w:p>
                          <w:p w14:paraId="742DFE3E" w14:textId="77777777" w:rsidR="004214ED" w:rsidRPr="00EA35C3" w:rsidRDefault="004214ED" w:rsidP="004214ED">
                            <w:pPr>
                              <w:widowControl/>
                              <w:autoSpaceDE/>
                              <w:autoSpaceDN/>
                              <w:adjustRightInd/>
                              <w:spacing w:after="0"/>
                              <w:rPr>
                                <w:rFonts w:ascii="Arial" w:hAnsi="Arial" w:cs="Arial"/>
                                <w:b/>
                                <w:bCs/>
                              </w:rPr>
                            </w:pPr>
                            <w:r w:rsidRPr="00EA35C3">
                              <w:rPr>
                                <w:rFonts w:ascii="Arial" w:hAnsi="Arial" w:cs="Arial"/>
                                <w:b/>
                                <w:bCs/>
                              </w:rPr>
                              <w:t xml:space="preserve">Blockchain </w:t>
                            </w:r>
                          </w:p>
                          <w:p w14:paraId="237F808B" w14:textId="77777777" w:rsidR="004214ED" w:rsidRPr="00EA35C3" w:rsidRDefault="00E23108" w:rsidP="004214ED">
                            <w:pPr>
                              <w:widowControl/>
                              <w:autoSpaceDE/>
                              <w:autoSpaceDN/>
                              <w:adjustRightInd/>
                              <w:spacing w:after="0"/>
                              <w:rPr>
                                <w:rFonts w:ascii="Arial" w:hAnsi="Arial" w:cs="Arial"/>
                              </w:rPr>
                            </w:pPr>
                            <w:hyperlink r:id="rId18" w:history="1">
                              <w:r w:rsidR="004214ED">
                                <w:rPr>
                                  <w:rFonts w:ascii="Arial" w:hAnsi="Arial" w:cs="Arial"/>
                                  <w:color w:val="0563C1"/>
                                  <w:u w:val="single"/>
                                </w:rPr>
                                <w:t>Blockchain Fundamentals for Accounting and Finance Professionals Certificate</w:t>
                              </w:r>
                            </w:hyperlink>
                          </w:p>
                          <w:p w14:paraId="6D731D40" w14:textId="77777777" w:rsidR="004214ED" w:rsidRDefault="004214ED" w:rsidP="004214ED">
                            <w:pPr>
                              <w:rPr>
                                <w:rFonts w:ascii="Arial" w:hAnsi="Arial" w:cs="Arial"/>
                                <w:b/>
                                <w:bCs/>
                                <w:color w:val="005BBB"/>
                                <w:sz w:val="16"/>
                                <w:szCs w:val="16"/>
                              </w:rPr>
                            </w:pPr>
                          </w:p>
                          <w:p w14:paraId="74360866" w14:textId="77777777" w:rsidR="004214ED" w:rsidRPr="00EA35C3" w:rsidRDefault="004214ED" w:rsidP="004214ED">
                            <w:pPr>
                              <w:widowControl/>
                              <w:autoSpaceDE/>
                              <w:autoSpaceDN/>
                              <w:adjustRightInd/>
                              <w:spacing w:after="0"/>
                              <w:rPr>
                                <w:rFonts w:ascii="Arial" w:hAnsi="Arial" w:cs="Arial"/>
                                <w:b/>
                                <w:bCs/>
                              </w:rPr>
                            </w:pPr>
                            <w:r w:rsidRPr="00502589">
                              <w:rPr>
                                <w:rFonts w:ascii="Arial" w:hAnsi="Arial" w:cs="Arial"/>
                                <w:b/>
                                <w:bCs/>
                              </w:rPr>
                              <w:t>Service Organization Controls</w:t>
                            </w:r>
                          </w:p>
                          <w:p w14:paraId="57ED1D7A" w14:textId="77777777" w:rsidR="004214ED" w:rsidRPr="005913E7" w:rsidRDefault="00E23108" w:rsidP="004214ED">
                            <w:pPr>
                              <w:widowControl/>
                              <w:autoSpaceDE/>
                              <w:autoSpaceDN/>
                              <w:adjustRightInd/>
                              <w:spacing w:before="120" w:after="0"/>
                              <w:rPr>
                                <w:rFonts w:ascii="Arial" w:hAnsi="Arial" w:cs="Arial"/>
                              </w:rPr>
                            </w:pPr>
                            <w:hyperlink r:id="rId19" w:history="1">
                              <w:r w:rsidR="004214ED" w:rsidRPr="005913E7">
                                <w:rPr>
                                  <w:rFonts w:ascii="Arial" w:hAnsi="Arial" w:cs="Arial"/>
                                  <w:color w:val="0563C1"/>
                                  <w:u w:val="single"/>
                                </w:rPr>
                                <w:t>Introduction to SOC for Service Organizations Reporting</w:t>
                              </w:r>
                            </w:hyperlink>
                          </w:p>
                          <w:p w14:paraId="3E90A4DE" w14:textId="77777777" w:rsidR="004214ED" w:rsidRPr="005913E7" w:rsidRDefault="00E23108" w:rsidP="004214ED">
                            <w:pPr>
                              <w:widowControl/>
                              <w:autoSpaceDE/>
                              <w:autoSpaceDN/>
                              <w:adjustRightInd/>
                              <w:spacing w:before="120" w:after="0"/>
                              <w:rPr>
                                <w:rFonts w:ascii="Arial" w:hAnsi="Arial" w:cs="Arial"/>
                              </w:rPr>
                            </w:pPr>
                            <w:hyperlink r:id="rId20" w:history="1">
                              <w:r w:rsidR="004214ED" w:rsidRPr="005913E7">
                                <w:rPr>
                                  <w:rFonts w:ascii="Arial" w:hAnsi="Arial" w:cs="Arial"/>
                                  <w:color w:val="0563C1"/>
                                  <w:u w:val="single"/>
                                </w:rPr>
                                <w:t>SOC for Service Organizations Deep Dive</w:t>
                              </w:r>
                            </w:hyperlink>
                          </w:p>
                          <w:p w14:paraId="4E11A06E" w14:textId="77777777" w:rsidR="004214ED" w:rsidRPr="005913E7" w:rsidRDefault="00E23108" w:rsidP="004214ED">
                            <w:pPr>
                              <w:widowControl/>
                              <w:autoSpaceDE/>
                              <w:autoSpaceDN/>
                              <w:adjustRightInd/>
                              <w:spacing w:before="120" w:after="0"/>
                              <w:rPr>
                                <w:rFonts w:ascii="Arial" w:hAnsi="Arial" w:cs="Arial"/>
                              </w:rPr>
                            </w:pPr>
                            <w:hyperlink r:id="rId21" w:history="1">
                              <w:r w:rsidR="004214ED">
                                <w:rPr>
                                  <w:rFonts w:ascii="Arial" w:hAnsi="Arial" w:cs="Arial"/>
                                  <w:color w:val="0563C1"/>
                                  <w:u w:val="single"/>
                                </w:rPr>
                                <w:t>SOC 2® Report Walkthrough</w:t>
                              </w:r>
                            </w:hyperlink>
                          </w:p>
                          <w:p w14:paraId="15447641" w14:textId="77777777" w:rsidR="004214ED" w:rsidRPr="005913E7" w:rsidRDefault="00E23108" w:rsidP="004214ED">
                            <w:pPr>
                              <w:widowControl/>
                              <w:autoSpaceDE/>
                              <w:autoSpaceDN/>
                              <w:adjustRightInd/>
                              <w:spacing w:before="120" w:after="0"/>
                              <w:rPr>
                                <w:rFonts w:ascii="Arial" w:hAnsi="Arial" w:cs="Arial"/>
                              </w:rPr>
                            </w:pPr>
                            <w:hyperlink r:id="rId22" w:history="1">
                              <w:r w:rsidR="004214ED">
                                <w:rPr>
                                  <w:rFonts w:ascii="Arial" w:hAnsi="Arial" w:cs="Arial"/>
                                  <w:color w:val="0563C1"/>
                                  <w:u w:val="single"/>
                                </w:rPr>
                                <w:t>Advanced SOC for Service Organizations Certificate Exam</w:t>
                              </w:r>
                            </w:hyperlink>
                          </w:p>
                          <w:p w14:paraId="7E794A5D" w14:textId="77777777" w:rsidR="004214ED" w:rsidRPr="005913E7" w:rsidRDefault="00E23108" w:rsidP="004214ED">
                            <w:pPr>
                              <w:widowControl/>
                              <w:autoSpaceDE/>
                              <w:autoSpaceDN/>
                              <w:adjustRightInd/>
                              <w:spacing w:before="120" w:after="0"/>
                              <w:rPr>
                                <w:rFonts w:ascii="Arial" w:hAnsi="Arial" w:cs="Arial"/>
                              </w:rPr>
                            </w:pPr>
                            <w:hyperlink r:id="rId23" w:history="1">
                              <w:r w:rsidR="004214ED">
                                <w:rPr>
                                  <w:rFonts w:ascii="Arial" w:hAnsi="Arial" w:cs="Arial"/>
                                  <w:color w:val="0563C1"/>
                                  <w:u w:val="single"/>
                                </w:rPr>
                                <w:t>Reporting on an Examination of Controls at a Service Organization Relevant to User Entities' Internal Control Over Financial Reporting (SOC 1®) - Guide</w:t>
                              </w:r>
                            </w:hyperlink>
                          </w:p>
                          <w:p w14:paraId="0E26DF2E" w14:textId="77777777" w:rsidR="004214ED" w:rsidRPr="005913E7" w:rsidRDefault="00E23108" w:rsidP="004214ED">
                            <w:pPr>
                              <w:widowControl/>
                              <w:autoSpaceDE/>
                              <w:autoSpaceDN/>
                              <w:adjustRightInd/>
                              <w:spacing w:before="120" w:after="0"/>
                              <w:rPr>
                                <w:rFonts w:ascii="Arial" w:hAnsi="Arial" w:cs="Arial"/>
                              </w:rPr>
                            </w:pPr>
                            <w:hyperlink r:id="rId24" w:history="1">
                              <w:r w:rsidR="004214ED">
                                <w:rPr>
                                  <w:rFonts w:ascii="Arial" w:hAnsi="Arial" w:cs="Arial"/>
                                  <w:color w:val="0563C1"/>
                                  <w:u w:val="single"/>
                                </w:rPr>
                                <w:t>SOC 2® Reporting on an Examination of Controls at a Service Organization Relevant to Security, Availability, Processing Integrity, Confidentiality, or Privacy</w:t>
                              </w:r>
                            </w:hyperlink>
                          </w:p>
                          <w:p w14:paraId="044C91E6" w14:textId="77777777" w:rsidR="004214ED" w:rsidRPr="00280C9B" w:rsidRDefault="004214ED" w:rsidP="004214ED">
                            <w:pPr>
                              <w:rPr>
                                <w:rFonts w:ascii="Arial" w:hAnsi="Arial" w:cs="Arial"/>
                                <w:b/>
                                <w:bCs/>
                                <w:color w:val="005BB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9D8F8" id="_x0000_s1027" type="#_x0000_t202" style="position:absolute;margin-left:169.8pt;margin-top:.55pt;width:221pt;height:472pt;z-index:-251651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" fillcolor="#f2f2f2 [3052]" strokecolor="#005bbb" strokeweight="1.25pt">
                <v:textbox>
                  <w:txbxContent>
                    <w:p w14:paraId="44556C4E" w14:textId="77777777" w:rsidR="004214ED" w:rsidRPr="00F4054A" w:rsidRDefault="004214ED" w:rsidP="004214ED">
                      <w:pPr>
                        <w:rPr>
                          <w:rFonts w:ascii="Arial" w:hAnsi="Arial" w:cs="Arial"/>
                          <w:b/>
                          <w:bCs/>
                          <w:color w:val="005BBB"/>
                        </w:rPr>
                      </w:pPr>
                      <w:r w:rsidRPr="00F4054A">
                        <w:rPr>
                          <w:rFonts w:ascii="Arial" w:hAnsi="Arial" w:cs="Arial"/>
                          <w:b/>
                          <w:bCs/>
                          <w:color w:val="005BBB"/>
                        </w:rPr>
                        <w:t xml:space="preserve">Need a </w:t>
                      </w:r>
                      <w:r>
                        <w:rPr>
                          <w:rFonts w:ascii="Arial" w:hAnsi="Arial" w:cs="Arial"/>
                          <w:b/>
                          <w:bCs/>
                          <w:color w:val="005BBB"/>
                        </w:rPr>
                        <w:t>D</w:t>
                      </w:r>
                      <w:r w:rsidRPr="00F4054A">
                        <w:rPr>
                          <w:rFonts w:ascii="Arial" w:hAnsi="Arial" w:cs="Arial"/>
                          <w:b/>
                          <w:bCs/>
                          <w:color w:val="005BBB"/>
                        </w:rPr>
                        <w:t xml:space="preserve">eeper </w:t>
                      </w:r>
                      <w:r>
                        <w:rPr>
                          <w:rFonts w:ascii="Arial" w:hAnsi="Arial" w:cs="Arial"/>
                          <w:b/>
                          <w:bCs/>
                          <w:color w:val="005BBB"/>
                        </w:rPr>
                        <w:t>D</w:t>
                      </w:r>
                      <w:r w:rsidRPr="00F4054A">
                        <w:rPr>
                          <w:rFonts w:ascii="Arial" w:hAnsi="Arial" w:cs="Arial"/>
                          <w:b/>
                          <w:bCs/>
                          <w:color w:val="005BBB"/>
                        </w:rPr>
                        <w:t>ive?</w:t>
                      </w:r>
                    </w:p>
                    <w:p w14:paraId="1C28CCEC" w14:textId="77777777" w:rsidR="004214ED" w:rsidRPr="00EF5058" w:rsidRDefault="004214ED" w:rsidP="004214ED">
                      <w:pPr>
                        <w:spacing w:after="0"/>
                        <w:rPr>
                          <w:rFonts w:ascii="Arial" w:hAnsi="Arial" w:cs="Arial"/>
                          <w:b/>
                          <w:bCs/>
                        </w:rPr>
                      </w:pPr>
                      <w:r>
                        <w:rPr>
                          <w:rFonts w:ascii="Arial" w:hAnsi="Arial" w:cs="Arial"/>
                        </w:rPr>
                        <w:t>If you prefer in-depth information on the topics discussed</w:t>
                      </w:r>
                      <w:r w:rsidRPr="00EF5058">
                        <w:rPr>
                          <w:rFonts w:ascii="Arial" w:hAnsi="Arial" w:cs="Arial"/>
                        </w:rPr>
                        <w:t xml:space="preserve">, here are </w:t>
                      </w:r>
                      <w:r>
                        <w:rPr>
                          <w:rFonts w:ascii="Arial" w:hAnsi="Arial" w:cs="Arial"/>
                        </w:rPr>
                        <w:t xml:space="preserve">some </w:t>
                      </w:r>
                      <w:r w:rsidRPr="00EF5058">
                        <w:rPr>
                          <w:rFonts w:ascii="Arial" w:hAnsi="Arial" w:cs="Arial"/>
                        </w:rPr>
                        <w:t>courses and programs from the AICPA</w:t>
                      </w:r>
                      <w:r>
                        <w:rPr>
                          <w:rFonts w:ascii="Arial" w:hAnsi="Arial" w:cs="Arial"/>
                        </w:rPr>
                        <w:t>:</w:t>
                      </w:r>
                    </w:p>
                    <w:p w14:paraId="644A3261" w14:textId="77777777" w:rsidR="004214ED" w:rsidRPr="00502589" w:rsidRDefault="004214ED" w:rsidP="004214ED">
                      <w:pPr>
                        <w:widowControl/>
                        <w:autoSpaceDE/>
                        <w:autoSpaceDN/>
                        <w:adjustRightInd/>
                        <w:spacing w:after="0"/>
                        <w:rPr>
                          <w:rFonts w:ascii="Arial" w:hAnsi="Arial" w:cs="Arial"/>
                        </w:rPr>
                      </w:pPr>
                    </w:p>
                    <w:p w14:paraId="0D7B995E" w14:textId="77777777" w:rsidR="004214ED" w:rsidRPr="00EA35C3" w:rsidRDefault="004214ED" w:rsidP="004214ED">
                      <w:pPr>
                        <w:widowControl/>
                        <w:autoSpaceDE/>
                        <w:autoSpaceDN/>
                        <w:adjustRightInd/>
                        <w:spacing w:after="0"/>
                        <w:rPr>
                          <w:rFonts w:ascii="Arial" w:hAnsi="Arial" w:cs="Arial"/>
                          <w:b/>
                          <w:bCs/>
                        </w:rPr>
                      </w:pPr>
                      <w:r w:rsidRPr="00EA35C3">
                        <w:rPr>
                          <w:rFonts w:ascii="Arial" w:hAnsi="Arial" w:cs="Arial"/>
                          <w:b/>
                          <w:bCs/>
                        </w:rPr>
                        <w:t xml:space="preserve">Digital Asset </w:t>
                      </w:r>
                    </w:p>
                    <w:p w14:paraId="59B774BA" w14:textId="77777777" w:rsidR="004214ED" w:rsidRPr="00EA35C3" w:rsidRDefault="00E23108" w:rsidP="004214ED">
                      <w:pPr>
                        <w:widowControl/>
                        <w:autoSpaceDE/>
                        <w:autoSpaceDN/>
                        <w:adjustRightInd/>
                        <w:spacing w:after="0"/>
                        <w:rPr>
                          <w:rFonts w:ascii="Arial" w:hAnsi="Arial" w:cs="Arial"/>
                        </w:rPr>
                      </w:pPr>
                      <w:hyperlink r:id="rId25" w:history="1">
                        <w:r w:rsidR="004214ED" w:rsidRPr="00502589">
                          <w:rPr>
                            <w:rFonts w:ascii="Arial" w:hAnsi="Arial" w:cs="Arial"/>
                            <w:color w:val="0563C1"/>
                            <w:u w:val="single"/>
                          </w:rPr>
                          <w:t>Blockchain for Digital Assets: Accounting for Digital Assets Under U.S. GAAP</w:t>
                        </w:r>
                      </w:hyperlink>
                    </w:p>
                    <w:p w14:paraId="6E05EBA5" w14:textId="77777777" w:rsidR="004214ED" w:rsidRPr="00502589" w:rsidRDefault="004214ED" w:rsidP="004214ED">
                      <w:pPr>
                        <w:widowControl/>
                        <w:autoSpaceDE/>
                        <w:autoSpaceDN/>
                        <w:adjustRightInd/>
                        <w:spacing w:after="0"/>
                        <w:rPr>
                          <w:rFonts w:ascii="Arial" w:hAnsi="Arial" w:cs="Arial"/>
                        </w:rPr>
                      </w:pPr>
                    </w:p>
                    <w:p w14:paraId="742DFE3E" w14:textId="77777777" w:rsidR="004214ED" w:rsidRPr="00EA35C3" w:rsidRDefault="004214ED" w:rsidP="004214ED">
                      <w:pPr>
                        <w:widowControl/>
                        <w:autoSpaceDE/>
                        <w:autoSpaceDN/>
                        <w:adjustRightInd/>
                        <w:spacing w:after="0"/>
                        <w:rPr>
                          <w:rFonts w:ascii="Arial" w:hAnsi="Arial" w:cs="Arial"/>
                          <w:b/>
                          <w:bCs/>
                        </w:rPr>
                      </w:pPr>
                      <w:r w:rsidRPr="00EA35C3">
                        <w:rPr>
                          <w:rFonts w:ascii="Arial" w:hAnsi="Arial" w:cs="Arial"/>
                          <w:b/>
                          <w:bCs/>
                        </w:rPr>
                        <w:t xml:space="preserve">Blockchain </w:t>
                      </w:r>
                    </w:p>
                    <w:p w14:paraId="237F808B" w14:textId="77777777" w:rsidR="004214ED" w:rsidRPr="00EA35C3" w:rsidRDefault="00E23108" w:rsidP="004214ED">
                      <w:pPr>
                        <w:widowControl/>
                        <w:autoSpaceDE/>
                        <w:autoSpaceDN/>
                        <w:adjustRightInd/>
                        <w:spacing w:after="0"/>
                        <w:rPr>
                          <w:rFonts w:ascii="Arial" w:hAnsi="Arial" w:cs="Arial"/>
                        </w:rPr>
                      </w:pPr>
                      <w:hyperlink r:id="rId26" w:history="1">
                        <w:r w:rsidR="004214ED">
                          <w:rPr>
                            <w:rFonts w:ascii="Arial" w:hAnsi="Arial" w:cs="Arial"/>
                            <w:color w:val="0563C1"/>
                            <w:u w:val="single"/>
                          </w:rPr>
                          <w:t>Blockchain Fundamentals for Accounting and Finance Professionals Certificate</w:t>
                        </w:r>
                      </w:hyperlink>
                    </w:p>
                    <w:p w14:paraId="6D731D40" w14:textId="77777777" w:rsidR="004214ED" w:rsidRDefault="004214ED" w:rsidP="004214ED">
                      <w:pPr>
                        <w:rPr>
                          <w:rFonts w:ascii="Arial" w:hAnsi="Arial" w:cs="Arial"/>
                          <w:b/>
                          <w:bCs/>
                          <w:color w:val="005BBB"/>
                          <w:sz w:val="16"/>
                          <w:szCs w:val="16"/>
                        </w:rPr>
                      </w:pPr>
                    </w:p>
                    <w:p w14:paraId="74360866" w14:textId="77777777" w:rsidR="004214ED" w:rsidRPr="00EA35C3" w:rsidRDefault="004214ED" w:rsidP="004214ED">
                      <w:pPr>
                        <w:widowControl/>
                        <w:autoSpaceDE/>
                        <w:autoSpaceDN/>
                        <w:adjustRightInd/>
                        <w:spacing w:after="0"/>
                        <w:rPr>
                          <w:rFonts w:ascii="Arial" w:hAnsi="Arial" w:cs="Arial"/>
                          <w:b/>
                          <w:bCs/>
                        </w:rPr>
                      </w:pPr>
                      <w:r w:rsidRPr="00502589">
                        <w:rPr>
                          <w:rFonts w:ascii="Arial" w:hAnsi="Arial" w:cs="Arial"/>
                          <w:b/>
                          <w:bCs/>
                        </w:rPr>
                        <w:t>Service Organization Controls</w:t>
                      </w:r>
                    </w:p>
                    <w:p w14:paraId="57ED1D7A" w14:textId="77777777" w:rsidR="004214ED" w:rsidRPr="005913E7" w:rsidRDefault="00E23108" w:rsidP="004214ED">
                      <w:pPr>
                        <w:widowControl/>
                        <w:autoSpaceDE/>
                        <w:autoSpaceDN/>
                        <w:adjustRightInd/>
                        <w:spacing w:before="120" w:after="0"/>
                        <w:rPr>
                          <w:rFonts w:ascii="Arial" w:hAnsi="Arial" w:cs="Arial"/>
                        </w:rPr>
                      </w:pPr>
                      <w:hyperlink r:id="rId27" w:history="1">
                        <w:r w:rsidR="004214ED" w:rsidRPr="005913E7">
                          <w:rPr>
                            <w:rFonts w:ascii="Arial" w:hAnsi="Arial" w:cs="Arial"/>
                            <w:color w:val="0563C1"/>
                            <w:u w:val="single"/>
                          </w:rPr>
                          <w:t>Introduction to SOC for Service Organizations Reporting</w:t>
                        </w:r>
                      </w:hyperlink>
                    </w:p>
                    <w:p w14:paraId="3E90A4DE" w14:textId="77777777" w:rsidR="004214ED" w:rsidRPr="005913E7" w:rsidRDefault="00E23108" w:rsidP="004214ED">
                      <w:pPr>
                        <w:widowControl/>
                        <w:autoSpaceDE/>
                        <w:autoSpaceDN/>
                        <w:adjustRightInd/>
                        <w:spacing w:before="120" w:after="0"/>
                        <w:rPr>
                          <w:rFonts w:ascii="Arial" w:hAnsi="Arial" w:cs="Arial"/>
                        </w:rPr>
                      </w:pPr>
                      <w:hyperlink r:id="rId28" w:history="1">
                        <w:r w:rsidR="004214ED" w:rsidRPr="005913E7">
                          <w:rPr>
                            <w:rFonts w:ascii="Arial" w:hAnsi="Arial" w:cs="Arial"/>
                            <w:color w:val="0563C1"/>
                            <w:u w:val="single"/>
                          </w:rPr>
                          <w:t>SOC for Service Organizations Deep Dive</w:t>
                        </w:r>
                      </w:hyperlink>
                    </w:p>
                    <w:p w14:paraId="4E11A06E" w14:textId="77777777" w:rsidR="004214ED" w:rsidRPr="005913E7" w:rsidRDefault="00E23108" w:rsidP="004214ED">
                      <w:pPr>
                        <w:widowControl/>
                        <w:autoSpaceDE/>
                        <w:autoSpaceDN/>
                        <w:adjustRightInd/>
                        <w:spacing w:before="120" w:after="0"/>
                        <w:rPr>
                          <w:rFonts w:ascii="Arial" w:hAnsi="Arial" w:cs="Arial"/>
                        </w:rPr>
                      </w:pPr>
                      <w:hyperlink r:id="rId29" w:history="1">
                        <w:r w:rsidR="004214ED">
                          <w:rPr>
                            <w:rFonts w:ascii="Arial" w:hAnsi="Arial" w:cs="Arial"/>
                            <w:color w:val="0563C1"/>
                            <w:u w:val="single"/>
                          </w:rPr>
                          <w:t>SOC 2® Report Walkthrough</w:t>
                        </w:r>
                      </w:hyperlink>
                    </w:p>
                    <w:p w14:paraId="15447641" w14:textId="77777777" w:rsidR="004214ED" w:rsidRPr="005913E7" w:rsidRDefault="00E23108" w:rsidP="004214ED">
                      <w:pPr>
                        <w:widowControl/>
                        <w:autoSpaceDE/>
                        <w:autoSpaceDN/>
                        <w:adjustRightInd/>
                        <w:spacing w:before="120" w:after="0"/>
                        <w:rPr>
                          <w:rFonts w:ascii="Arial" w:hAnsi="Arial" w:cs="Arial"/>
                        </w:rPr>
                      </w:pPr>
                      <w:hyperlink r:id="rId30" w:history="1">
                        <w:r w:rsidR="004214ED">
                          <w:rPr>
                            <w:rFonts w:ascii="Arial" w:hAnsi="Arial" w:cs="Arial"/>
                            <w:color w:val="0563C1"/>
                            <w:u w:val="single"/>
                          </w:rPr>
                          <w:t>Advanced SOC for Service Organizations Certificate Exam</w:t>
                        </w:r>
                      </w:hyperlink>
                    </w:p>
                    <w:p w14:paraId="7E794A5D" w14:textId="77777777" w:rsidR="004214ED" w:rsidRPr="005913E7" w:rsidRDefault="00E23108" w:rsidP="004214ED">
                      <w:pPr>
                        <w:widowControl/>
                        <w:autoSpaceDE/>
                        <w:autoSpaceDN/>
                        <w:adjustRightInd/>
                        <w:spacing w:before="120" w:after="0"/>
                        <w:rPr>
                          <w:rFonts w:ascii="Arial" w:hAnsi="Arial" w:cs="Arial"/>
                        </w:rPr>
                      </w:pPr>
                      <w:hyperlink r:id="rId31" w:history="1">
                        <w:r w:rsidR="004214ED">
                          <w:rPr>
                            <w:rFonts w:ascii="Arial" w:hAnsi="Arial" w:cs="Arial"/>
                            <w:color w:val="0563C1"/>
                            <w:u w:val="single"/>
                          </w:rPr>
                          <w:t>Reporting on an Examination of Controls at a Service Organization Relevant to User Entities' Internal Control Over Financial Reporting (SOC 1®) - Guide</w:t>
                        </w:r>
                      </w:hyperlink>
                    </w:p>
                    <w:p w14:paraId="0E26DF2E" w14:textId="77777777" w:rsidR="004214ED" w:rsidRPr="005913E7" w:rsidRDefault="00E23108" w:rsidP="004214ED">
                      <w:pPr>
                        <w:widowControl/>
                        <w:autoSpaceDE/>
                        <w:autoSpaceDN/>
                        <w:adjustRightInd/>
                        <w:spacing w:before="120" w:after="0"/>
                        <w:rPr>
                          <w:rFonts w:ascii="Arial" w:hAnsi="Arial" w:cs="Arial"/>
                        </w:rPr>
                      </w:pPr>
                      <w:hyperlink r:id="rId32" w:history="1">
                        <w:r w:rsidR="004214ED">
                          <w:rPr>
                            <w:rFonts w:ascii="Arial" w:hAnsi="Arial" w:cs="Arial"/>
                            <w:color w:val="0563C1"/>
                            <w:u w:val="single"/>
                          </w:rPr>
                          <w:t>SOC 2® Reporting on an Examination of Controls at a Service Organization Relevant to Security, Availability, Processing Integrity, Confidentiality, or Privacy</w:t>
                        </w:r>
                      </w:hyperlink>
                    </w:p>
                    <w:p w14:paraId="044C91E6" w14:textId="77777777" w:rsidR="004214ED" w:rsidRPr="00280C9B" w:rsidRDefault="004214ED" w:rsidP="004214ED">
                      <w:pPr>
                        <w:rPr>
                          <w:rFonts w:ascii="Arial" w:hAnsi="Arial" w:cs="Arial"/>
                          <w:b/>
                          <w:bCs/>
                          <w:color w:val="005BBB"/>
                          <w:sz w:val="16"/>
                          <w:szCs w:val="16"/>
                        </w:rPr>
                      </w:pPr>
                    </w:p>
                  </w:txbxContent>
                </v:textbox>
                <w10:wrap type="tight" anchorx="margin"/>
              </v:shape>
            </w:pict>
          </mc:Fallback>
        </mc:AlternateContent>
      </w:r>
      <w:r w:rsidRPr="0014777B">
        <w:rPr>
          <w:rFonts w:ascii="Arial" w:hAnsi="Arial" w:cs="Arial"/>
          <w:sz w:val="22"/>
        </w:rPr>
        <w:t xml:space="preserve">As auditors navigate the challenges presented by the COVID-19 pandemic, the AICPA is available to help. The A&amp;A resource center at </w:t>
      </w:r>
      <w:hyperlink r:id="rId33" w:history="1">
        <w:r w:rsidRPr="0014777B">
          <w:rPr>
            <w:rStyle w:val="Hyperlink"/>
            <w:rFonts w:ascii="Arial" w:hAnsi="Arial" w:cs="Arial"/>
            <w:sz w:val="22"/>
          </w:rPr>
          <w:t>aicpa.org/covidaudit</w:t>
        </w:r>
      </w:hyperlink>
      <w:r w:rsidRPr="0014777B">
        <w:rPr>
          <w:rFonts w:ascii="Arial" w:hAnsi="Arial" w:cs="Arial"/>
          <w:sz w:val="22"/>
        </w:rPr>
        <w:t xml:space="preserve"> is updated periodically to help you with your audit engagements that are impacted by the pandemic. Here are a </w:t>
      </w:r>
      <w:r>
        <w:rPr>
          <w:rFonts w:ascii="Arial" w:hAnsi="Arial" w:cs="Arial"/>
          <w:sz w:val="22"/>
        </w:rPr>
        <w:t>few</w:t>
      </w:r>
      <w:r w:rsidRPr="0014777B">
        <w:rPr>
          <w:rFonts w:ascii="Arial" w:hAnsi="Arial" w:cs="Arial"/>
          <w:sz w:val="22"/>
        </w:rPr>
        <w:t xml:space="preserve"> resources EAQ launched since </w:t>
      </w:r>
      <w:r>
        <w:rPr>
          <w:rFonts w:ascii="Arial" w:hAnsi="Arial" w:cs="Arial"/>
          <w:sz w:val="22"/>
        </w:rPr>
        <w:t>November</w:t>
      </w:r>
      <w:r w:rsidRPr="0014777B">
        <w:rPr>
          <w:rFonts w:ascii="Arial" w:hAnsi="Arial" w:cs="Arial"/>
          <w:sz w:val="22"/>
        </w:rPr>
        <w:t>:</w:t>
      </w:r>
    </w:p>
    <w:p w14:paraId="209BB5B1" w14:textId="77777777" w:rsidR="004214ED" w:rsidRPr="0014777B" w:rsidRDefault="004214ED" w:rsidP="004214ED">
      <w:pPr>
        <w:pStyle w:val="NoSpacing"/>
        <w:rPr>
          <w:rFonts w:ascii="Arial" w:hAnsi="Arial" w:cs="Arial"/>
          <w:sz w:val="22"/>
        </w:rPr>
      </w:pPr>
    </w:p>
    <w:p w14:paraId="1096147B" w14:textId="77777777" w:rsidR="004214ED" w:rsidRPr="0014777B" w:rsidRDefault="004214ED" w:rsidP="004214ED">
      <w:pPr>
        <w:pStyle w:val="ListParagraph"/>
        <w:widowControl/>
        <w:numPr>
          <w:ilvl w:val="0"/>
          <w:numId w:val="16"/>
        </w:numPr>
        <w:autoSpaceDE/>
        <w:autoSpaceDN/>
        <w:adjustRightInd/>
        <w:spacing w:after="160" w:line="259" w:lineRule="auto"/>
        <w:contextualSpacing/>
        <w:rPr>
          <w:rFonts w:ascii="Arial" w:hAnsi="Arial" w:cs="Arial"/>
          <w:sz w:val="22"/>
          <w:szCs w:val="22"/>
        </w:rPr>
      </w:pPr>
      <w:r w:rsidRPr="0014777B">
        <w:rPr>
          <w:rFonts w:ascii="Arial" w:hAnsi="Arial" w:cs="Arial"/>
          <w:sz w:val="22"/>
          <w:szCs w:val="22"/>
        </w:rPr>
        <w:t xml:space="preserve">Fraud risk </w:t>
      </w:r>
      <w:hyperlink r:id="rId34" w:history="1">
        <w:r w:rsidRPr="0014777B">
          <w:rPr>
            <w:rStyle w:val="Hyperlink"/>
            <w:rFonts w:ascii="Arial" w:hAnsi="Arial" w:cs="Arial"/>
            <w:sz w:val="22"/>
            <w:szCs w:val="22"/>
          </w:rPr>
          <w:t>article</w:t>
        </w:r>
      </w:hyperlink>
      <w:r w:rsidRPr="0014777B">
        <w:rPr>
          <w:rFonts w:ascii="Arial" w:hAnsi="Arial" w:cs="Arial"/>
          <w:sz w:val="22"/>
          <w:szCs w:val="22"/>
        </w:rPr>
        <w:t xml:space="preserve"> covering potential fraud risks to keep in mind when performing audit engagements. </w:t>
      </w:r>
    </w:p>
    <w:p w14:paraId="689C699B" w14:textId="77777777" w:rsidR="004214ED" w:rsidRPr="0014777B" w:rsidRDefault="004214ED" w:rsidP="004214ED">
      <w:pPr>
        <w:pStyle w:val="ListParagraph"/>
        <w:widowControl/>
        <w:numPr>
          <w:ilvl w:val="0"/>
          <w:numId w:val="16"/>
        </w:numPr>
        <w:autoSpaceDE/>
        <w:autoSpaceDN/>
        <w:adjustRightInd/>
        <w:spacing w:after="160" w:line="259" w:lineRule="auto"/>
        <w:contextualSpacing/>
        <w:rPr>
          <w:rFonts w:ascii="Arial" w:hAnsi="Arial" w:cs="Arial"/>
          <w:sz w:val="22"/>
          <w:szCs w:val="22"/>
        </w:rPr>
      </w:pPr>
      <w:r w:rsidRPr="0014777B">
        <w:rPr>
          <w:rFonts w:ascii="Arial" w:hAnsi="Arial" w:cs="Arial"/>
          <w:sz w:val="22"/>
          <w:szCs w:val="22"/>
        </w:rPr>
        <w:t xml:space="preserve">Real estate </w:t>
      </w:r>
      <w:hyperlink r:id="rId35" w:anchor="sthash.TxcM9bwv.dpbs" w:history="1">
        <w:r w:rsidRPr="0014777B">
          <w:rPr>
            <w:rStyle w:val="Hyperlink"/>
            <w:rFonts w:ascii="Arial" w:hAnsi="Arial" w:cs="Arial"/>
            <w:sz w:val="22"/>
            <w:szCs w:val="22"/>
          </w:rPr>
          <w:t>blog</w:t>
        </w:r>
      </w:hyperlink>
      <w:r w:rsidRPr="0014777B">
        <w:rPr>
          <w:rFonts w:ascii="Arial" w:hAnsi="Arial" w:cs="Arial"/>
          <w:sz w:val="22"/>
          <w:szCs w:val="22"/>
        </w:rPr>
        <w:t xml:space="preserve"> describing impairment considerations for auditors to keep in mind when performing audits for commercial real estate professionals. </w:t>
      </w:r>
    </w:p>
    <w:p w14:paraId="538C3E9E" w14:textId="77777777" w:rsidR="004214ED" w:rsidRPr="0014777B" w:rsidRDefault="004214ED" w:rsidP="004214ED">
      <w:pPr>
        <w:pStyle w:val="ListParagraph"/>
        <w:widowControl/>
        <w:numPr>
          <w:ilvl w:val="0"/>
          <w:numId w:val="16"/>
        </w:numPr>
        <w:autoSpaceDE/>
        <w:autoSpaceDN/>
        <w:adjustRightInd/>
        <w:spacing w:after="160" w:line="259" w:lineRule="auto"/>
        <w:contextualSpacing/>
        <w:rPr>
          <w:rFonts w:ascii="Arial" w:hAnsi="Arial" w:cs="Arial"/>
          <w:sz w:val="22"/>
          <w:szCs w:val="22"/>
        </w:rPr>
      </w:pPr>
      <w:r w:rsidRPr="0014777B">
        <w:rPr>
          <w:rFonts w:ascii="Arial" w:hAnsi="Arial" w:cs="Arial"/>
          <w:sz w:val="22"/>
          <w:szCs w:val="22"/>
        </w:rPr>
        <w:t xml:space="preserve">Healthcare </w:t>
      </w:r>
      <w:hyperlink r:id="rId36" w:anchor="sthash.sZ79xUSQ.dpbs" w:history="1">
        <w:r w:rsidRPr="0014777B">
          <w:rPr>
            <w:rStyle w:val="Hyperlink"/>
            <w:rFonts w:ascii="Arial" w:hAnsi="Arial" w:cs="Arial"/>
            <w:sz w:val="22"/>
            <w:szCs w:val="22"/>
          </w:rPr>
          <w:t>blog</w:t>
        </w:r>
      </w:hyperlink>
      <w:r w:rsidRPr="0014777B">
        <w:rPr>
          <w:rFonts w:ascii="Arial" w:hAnsi="Arial" w:cs="Arial"/>
          <w:sz w:val="22"/>
          <w:szCs w:val="22"/>
        </w:rPr>
        <w:t xml:space="preserve"> highlighting major considerations to keep in mind when auditing these entities. </w:t>
      </w:r>
    </w:p>
    <w:p w14:paraId="464B0F09" w14:textId="77777777" w:rsidR="004214ED" w:rsidRPr="0014777B" w:rsidRDefault="004214ED" w:rsidP="004214ED">
      <w:pPr>
        <w:pStyle w:val="ListParagraph"/>
        <w:widowControl/>
        <w:numPr>
          <w:ilvl w:val="0"/>
          <w:numId w:val="16"/>
        </w:numPr>
        <w:autoSpaceDE/>
        <w:autoSpaceDN/>
        <w:adjustRightInd/>
        <w:spacing w:after="160" w:line="259" w:lineRule="auto"/>
        <w:contextualSpacing/>
        <w:rPr>
          <w:rFonts w:ascii="Arial" w:hAnsi="Arial" w:cs="Arial"/>
          <w:sz w:val="22"/>
          <w:szCs w:val="22"/>
        </w:rPr>
      </w:pPr>
      <w:r w:rsidRPr="0014777B">
        <w:rPr>
          <w:rFonts w:ascii="Arial" w:hAnsi="Arial" w:cs="Arial"/>
          <w:sz w:val="22"/>
          <w:szCs w:val="22"/>
        </w:rPr>
        <w:t xml:space="preserve">Call for questions </w:t>
      </w:r>
      <w:hyperlink r:id="rId37" w:anchor="sthash.nfdnXn4q.dpbs" w:history="1">
        <w:r w:rsidRPr="0014777B">
          <w:rPr>
            <w:rStyle w:val="Hyperlink"/>
            <w:rFonts w:ascii="Arial" w:hAnsi="Arial" w:cs="Arial"/>
            <w:sz w:val="22"/>
            <w:szCs w:val="22"/>
          </w:rPr>
          <w:t>blog</w:t>
        </w:r>
      </w:hyperlink>
      <w:r w:rsidRPr="0014777B">
        <w:rPr>
          <w:rFonts w:ascii="Arial" w:hAnsi="Arial" w:cs="Arial"/>
          <w:sz w:val="22"/>
          <w:szCs w:val="22"/>
        </w:rPr>
        <w:t xml:space="preserve"> answering questions received relative to auditing during a pandemic.</w:t>
      </w:r>
    </w:p>
    <w:p w14:paraId="488CABBA" w14:textId="77777777" w:rsidR="004214ED" w:rsidRPr="0014777B" w:rsidRDefault="004214ED" w:rsidP="004214ED">
      <w:pPr>
        <w:pStyle w:val="ListParagraph"/>
        <w:widowControl/>
        <w:numPr>
          <w:ilvl w:val="0"/>
          <w:numId w:val="16"/>
        </w:numPr>
        <w:autoSpaceDE/>
        <w:autoSpaceDN/>
        <w:adjustRightInd/>
        <w:spacing w:after="160" w:line="259" w:lineRule="auto"/>
        <w:contextualSpacing/>
        <w:rPr>
          <w:rFonts w:ascii="Arial" w:hAnsi="Arial" w:cs="Arial"/>
          <w:sz w:val="22"/>
          <w:szCs w:val="22"/>
        </w:rPr>
      </w:pPr>
      <w:r w:rsidRPr="0014777B">
        <w:rPr>
          <w:rFonts w:ascii="Arial" w:hAnsi="Arial" w:cs="Arial"/>
          <w:sz w:val="22"/>
          <w:szCs w:val="22"/>
        </w:rPr>
        <w:t xml:space="preserve">EBP </w:t>
      </w:r>
      <w:hyperlink r:id="rId38" w:anchor="sthash.cUey59AB.dpbs" w:history="1">
        <w:r w:rsidRPr="0014777B">
          <w:rPr>
            <w:rStyle w:val="Hyperlink"/>
            <w:rFonts w:ascii="Arial" w:hAnsi="Arial" w:cs="Arial"/>
            <w:sz w:val="22"/>
            <w:szCs w:val="22"/>
          </w:rPr>
          <w:t>blog</w:t>
        </w:r>
      </w:hyperlink>
      <w:r w:rsidRPr="0014777B">
        <w:rPr>
          <w:rFonts w:ascii="Arial" w:hAnsi="Arial" w:cs="Arial"/>
          <w:sz w:val="22"/>
          <w:szCs w:val="22"/>
        </w:rPr>
        <w:t xml:space="preserve"> covering 2021 audit considerations to keep in mind when performing EBP engagements. </w:t>
      </w:r>
    </w:p>
    <w:p w14:paraId="6C6AAAA8" w14:textId="77777777" w:rsidR="004214ED" w:rsidRPr="0014777B" w:rsidRDefault="004214ED" w:rsidP="004214ED">
      <w:pPr>
        <w:pStyle w:val="ListParagraph"/>
        <w:widowControl/>
        <w:numPr>
          <w:ilvl w:val="0"/>
          <w:numId w:val="23"/>
        </w:numPr>
        <w:autoSpaceDE/>
        <w:autoSpaceDN/>
        <w:adjustRightInd/>
        <w:spacing w:after="160" w:line="259" w:lineRule="auto"/>
        <w:contextualSpacing/>
        <w:rPr>
          <w:rFonts w:ascii="Arial" w:hAnsi="Arial" w:cs="Arial"/>
          <w:sz w:val="22"/>
          <w:szCs w:val="22"/>
        </w:rPr>
      </w:pPr>
      <w:r w:rsidRPr="0014777B">
        <w:rPr>
          <w:rFonts w:ascii="Arial" w:hAnsi="Arial" w:cs="Arial"/>
          <w:sz w:val="22"/>
          <w:szCs w:val="22"/>
        </w:rPr>
        <w:t xml:space="preserve">Fraud risk </w:t>
      </w:r>
      <w:hyperlink r:id="rId39" w:history="1">
        <w:r w:rsidRPr="0014777B">
          <w:rPr>
            <w:rStyle w:val="Hyperlink"/>
            <w:rFonts w:ascii="Arial" w:hAnsi="Arial" w:cs="Arial"/>
            <w:sz w:val="22"/>
            <w:szCs w:val="22"/>
          </w:rPr>
          <w:t>webcast</w:t>
        </w:r>
      </w:hyperlink>
      <w:r w:rsidRPr="0014777B">
        <w:rPr>
          <w:rFonts w:ascii="Arial" w:hAnsi="Arial" w:cs="Arial"/>
          <w:sz w:val="22"/>
          <w:szCs w:val="22"/>
        </w:rPr>
        <w:t xml:space="preserve"> covering the financial impact of COVID-19 pandemic on clients to help auditors understand their responsibilities and how to respond to these risks.</w:t>
      </w:r>
    </w:p>
    <w:p w14:paraId="5321D95B" w14:textId="77777777" w:rsidR="004214ED" w:rsidRPr="0014777B" w:rsidRDefault="004214ED" w:rsidP="004214ED">
      <w:pPr>
        <w:pStyle w:val="NoSpacing"/>
        <w:rPr>
          <w:rFonts w:ascii="Arial" w:hAnsi="Arial" w:cs="Arial"/>
          <w:sz w:val="22"/>
        </w:rPr>
      </w:pPr>
      <w:r w:rsidRPr="0014777B">
        <w:rPr>
          <w:rFonts w:ascii="Arial" w:hAnsi="Arial" w:cs="Arial"/>
          <w:sz w:val="22"/>
        </w:rPr>
        <w:t xml:space="preserve">For information about how COVID-19 may impact other areas of your practice, from tax and personal financial planning to forensic accounting, check out </w:t>
      </w:r>
      <w:hyperlink r:id="rId40" w:history="1">
        <w:r w:rsidRPr="0014777B">
          <w:rPr>
            <w:rStyle w:val="Hyperlink"/>
            <w:rFonts w:ascii="Arial" w:hAnsi="Arial" w:cs="Arial"/>
            <w:sz w:val="22"/>
          </w:rPr>
          <w:t>the AICPA Coronavirus Resource Center</w:t>
        </w:r>
      </w:hyperlink>
      <w:r w:rsidRPr="0014777B">
        <w:rPr>
          <w:rFonts w:ascii="Arial" w:hAnsi="Arial" w:cs="Arial"/>
          <w:sz w:val="22"/>
        </w:rPr>
        <w:t>.</w:t>
      </w:r>
    </w:p>
    <w:p w14:paraId="549C484E" w14:textId="77777777" w:rsidR="004214ED" w:rsidRDefault="004214ED" w:rsidP="004214ED">
      <w:pPr>
        <w:pStyle w:val="NoSpacing"/>
        <w:rPr>
          <w:rFonts w:ascii="Arial" w:hAnsi="Arial" w:cs="Arial"/>
          <w:b/>
          <w:bCs/>
          <w:iCs/>
          <w:color w:val="005BBB"/>
          <w:sz w:val="22"/>
        </w:rPr>
      </w:pPr>
    </w:p>
    <w:p w14:paraId="0A8EC6C9" w14:textId="77777777" w:rsidR="004214ED" w:rsidRPr="0014777B" w:rsidRDefault="004214ED" w:rsidP="004214ED">
      <w:pPr>
        <w:pStyle w:val="NoSpacing"/>
        <w:rPr>
          <w:rFonts w:ascii="Arial" w:hAnsi="Arial" w:cs="Arial"/>
          <w:b/>
          <w:bCs/>
          <w:iCs/>
          <w:color w:val="005BBB"/>
          <w:sz w:val="22"/>
        </w:rPr>
      </w:pPr>
      <w:r w:rsidRPr="0014777B">
        <w:rPr>
          <w:rFonts w:ascii="Arial" w:hAnsi="Arial" w:cs="Arial"/>
          <w:b/>
          <w:bCs/>
          <w:iCs/>
          <w:color w:val="005BBB"/>
          <w:sz w:val="22"/>
        </w:rPr>
        <w:t>Risk Assessment and Response</w:t>
      </w:r>
    </w:p>
    <w:p w14:paraId="226CB675" w14:textId="77777777" w:rsidR="004214ED" w:rsidRPr="0014777B" w:rsidRDefault="004214ED" w:rsidP="004214ED">
      <w:pPr>
        <w:pStyle w:val="NoSpacing"/>
        <w:rPr>
          <w:rFonts w:ascii="Arial" w:hAnsi="Arial" w:cs="Arial"/>
          <w:sz w:val="8"/>
          <w:szCs w:val="8"/>
        </w:rPr>
      </w:pPr>
    </w:p>
    <w:p w14:paraId="3FA06B23" w14:textId="77777777" w:rsidR="004214ED" w:rsidRPr="0014777B" w:rsidRDefault="004214ED" w:rsidP="004214ED">
      <w:pPr>
        <w:pStyle w:val="NoSpacing"/>
        <w:rPr>
          <w:rFonts w:ascii="Arial" w:hAnsi="Arial" w:cs="Arial"/>
          <w:sz w:val="22"/>
        </w:rPr>
      </w:pPr>
      <w:r w:rsidRPr="0014777B">
        <w:rPr>
          <w:rFonts w:ascii="Arial" w:hAnsi="Arial" w:cs="Arial"/>
          <w:sz w:val="22"/>
        </w:rPr>
        <w:t xml:space="preserve">EAQ launched an updated risk assessment on demand </w:t>
      </w:r>
      <w:hyperlink r:id="rId41" w:history="1">
        <w:r w:rsidRPr="0014777B">
          <w:rPr>
            <w:rStyle w:val="Hyperlink"/>
            <w:rFonts w:ascii="Arial" w:hAnsi="Arial" w:cs="Arial"/>
            <w:sz w:val="22"/>
          </w:rPr>
          <w:t>course</w:t>
        </w:r>
      </w:hyperlink>
      <w:r w:rsidRPr="0014777B">
        <w:rPr>
          <w:rFonts w:ascii="Arial" w:hAnsi="Arial" w:cs="Arial"/>
          <w:sz w:val="22"/>
        </w:rPr>
        <w:t xml:space="preserve"> that reviews the risk assessment standard requirements and discusses the importance of risk assessment during the pandemic recovery period. </w:t>
      </w:r>
    </w:p>
    <w:p w14:paraId="083B063E" w14:textId="77777777" w:rsidR="004214ED" w:rsidRPr="0014777B" w:rsidRDefault="004214ED" w:rsidP="004214ED">
      <w:pPr>
        <w:pStyle w:val="NoSpacing"/>
        <w:rPr>
          <w:rFonts w:ascii="Arial" w:hAnsi="Arial" w:cs="Arial"/>
          <w:sz w:val="22"/>
        </w:rPr>
      </w:pPr>
    </w:p>
    <w:p w14:paraId="5B6B3AE9" w14:textId="77777777" w:rsidR="004214ED" w:rsidRPr="0014777B" w:rsidRDefault="004214ED" w:rsidP="004214ED">
      <w:pPr>
        <w:pStyle w:val="NoSpacing"/>
        <w:rPr>
          <w:rFonts w:ascii="Arial" w:hAnsi="Arial" w:cs="Arial"/>
          <w:b/>
          <w:bCs/>
          <w:iCs/>
          <w:color w:val="005BBB"/>
          <w:sz w:val="22"/>
        </w:rPr>
      </w:pPr>
      <w:r w:rsidRPr="0014777B">
        <w:rPr>
          <w:rFonts w:ascii="Arial" w:hAnsi="Arial" w:cs="Arial"/>
          <w:b/>
          <w:bCs/>
          <w:iCs/>
          <w:color w:val="005BBB"/>
          <w:sz w:val="22"/>
        </w:rPr>
        <w:t>Peer Reviewer Survey Results</w:t>
      </w:r>
    </w:p>
    <w:p w14:paraId="3BBFD3F0" w14:textId="77777777" w:rsidR="004214ED" w:rsidRPr="0014777B" w:rsidRDefault="004214ED" w:rsidP="004214ED">
      <w:pPr>
        <w:pStyle w:val="NoSpacing"/>
        <w:rPr>
          <w:rFonts w:ascii="Arial" w:hAnsi="Arial" w:cs="Arial"/>
          <w:sz w:val="8"/>
          <w:szCs w:val="8"/>
        </w:rPr>
      </w:pPr>
    </w:p>
    <w:p w14:paraId="4932691E" w14:textId="77777777" w:rsidR="004214ED" w:rsidRPr="0014777B" w:rsidRDefault="004214ED" w:rsidP="004214ED">
      <w:pPr>
        <w:pStyle w:val="NoSpacing"/>
        <w:rPr>
          <w:rFonts w:ascii="Arial" w:hAnsi="Arial" w:cs="Arial"/>
          <w:sz w:val="22"/>
        </w:rPr>
      </w:pPr>
      <w:r w:rsidRPr="0014777B">
        <w:rPr>
          <w:rFonts w:ascii="Arial" w:hAnsi="Arial" w:cs="Arial"/>
          <w:sz w:val="22"/>
        </w:rPr>
        <w:t xml:space="preserve">The EAQ team conducted a survey of Peer Reviewers to gain insight on challenges in the current environment. Find out what </w:t>
      </w:r>
      <w:r>
        <w:rPr>
          <w:rFonts w:ascii="Arial" w:hAnsi="Arial" w:cs="Arial"/>
          <w:sz w:val="22"/>
        </w:rPr>
        <w:t>we</w:t>
      </w:r>
      <w:r w:rsidRPr="0014777B">
        <w:rPr>
          <w:rFonts w:ascii="Arial" w:hAnsi="Arial" w:cs="Arial"/>
          <w:sz w:val="22"/>
        </w:rPr>
        <w:t xml:space="preserve">’ve shared by reading this </w:t>
      </w:r>
      <w:hyperlink r:id="rId42" w:anchor="sthash.VpKyhCTZ.dpbs" w:history="1">
        <w:r w:rsidRPr="0014777B">
          <w:rPr>
            <w:rStyle w:val="Hyperlink"/>
            <w:rFonts w:ascii="Arial" w:hAnsi="Arial" w:cs="Arial"/>
            <w:sz w:val="22"/>
          </w:rPr>
          <w:t>blog</w:t>
        </w:r>
      </w:hyperlink>
      <w:r w:rsidRPr="0014777B">
        <w:rPr>
          <w:rFonts w:ascii="Arial" w:hAnsi="Arial" w:cs="Arial"/>
          <w:sz w:val="22"/>
        </w:rPr>
        <w:t xml:space="preserve">. </w:t>
      </w:r>
    </w:p>
    <w:p w14:paraId="2DF76FF4" w14:textId="77777777" w:rsidR="004214ED" w:rsidRDefault="004214ED" w:rsidP="004214ED">
      <w:pPr>
        <w:pStyle w:val="NoSpacing"/>
        <w:rPr>
          <w:noProof/>
        </w:rPr>
      </w:pPr>
    </w:p>
    <w:p w14:paraId="088EA522" w14:textId="455C30F5" w:rsidR="004214ED" w:rsidRDefault="004214ED" w:rsidP="004214ED">
      <w:pPr>
        <w:pStyle w:val="NoSpacing"/>
        <w:rPr>
          <w:noProof/>
        </w:rPr>
      </w:pPr>
    </w:p>
    <w:p w14:paraId="7CCF0D47" w14:textId="2E3D5AAD" w:rsidR="004214ED" w:rsidRDefault="004214ED" w:rsidP="004214ED">
      <w:pPr>
        <w:pStyle w:val="NoSpacing"/>
        <w:rPr>
          <w:noProof/>
        </w:rPr>
      </w:pPr>
    </w:p>
    <w:p w14:paraId="02CC5852" w14:textId="7465017A" w:rsidR="004214ED" w:rsidRDefault="004214ED" w:rsidP="004214ED">
      <w:pPr>
        <w:pStyle w:val="NoSpacing"/>
        <w:rPr>
          <w:noProof/>
        </w:rPr>
      </w:pPr>
    </w:p>
    <w:p w14:paraId="61F68E4C" w14:textId="4ABDD672" w:rsidR="004214ED" w:rsidRDefault="004214ED" w:rsidP="004214ED">
      <w:pPr>
        <w:pStyle w:val="NoSpacing"/>
        <w:rPr>
          <w:noProof/>
        </w:rPr>
      </w:pPr>
    </w:p>
    <w:p w14:paraId="6FD8AF46" w14:textId="66C904CB" w:rsidR="004214ED" w:rsidRDefault="004214ED" w:rsidP="004214ED">
      <w:pPr>
        <w:pStyle w:val="NoSpacing"/>
        <w:rPr>
          <w:noProof/>
        </w:rPr>
      </w:pPr>
    </w:p>
    <w:p w14:paraId="48C9BD08" w14:textId="7E65BB36" w:rsidR="004214ED" w:rsidRDefault="004214ED" w:rsidP="004214ED">
      <w:pPr>
        <w:pStyle w:val="NoSpacing"/>
        <w:rPr>
          <w:noProof/>
        </w:rPr>
      </w:pPr>
    </w:p>
    <w:p w14:paraId="1FCC089F" w14:textId="717374EE" w:rsidR="004214ED" w:rsidRDefault="004214ED" w:rsidP="004214ED">
      <w:pPr>
        <w:pStyle w:val="NoSpacing"/>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BBB"/>
        <w:tblLook w:val="04A0" w:firstRow="1" w:lastRow="0" w:firstColumn="1" w:lastColumn="0" w:noHBand="0" w:noVBand="1"/>
      </w:tblPr>
      <w:tblGrid>
        <w:gridCol w:w="10790"/>
      </w:tblGrid>
      <w:tr w:rsidR="004214ED" w14:paraId="362BB2FC" w14:textId="77777777" w:rsidTr="00DA3775">
        <w:trPr>
          <w:trHeight w:val="576"/>
        </w:trPr>
        <w:tc>
          <w:tcPr>
            <w:tcW w:w="10790" w:type="dxa"/>
            <w:shd w:val="clear" w:color="auto" w:fill="005BBB"/>
            <w:vAlign w:val="center"/>
          </w:tcPr>
          <w:p w14:paraId="6361B362" w14:textId="77777777" w:rsidR="004214ED" w:rsidRPr="00190C61" w:rsidRDefault="004214ED" w:rsidP="00DA3775">
            <w:pPr>
              <w:pStyle w:val="NoSpacing"/>
              <w:rPr>
                <w:rFonts w:ascii="Arial" w:hAnsi="Arial" w:cs="Arial"/>
                <w:b/>
                <w:bCs/>
                <w:color w:val="FF0000"/>
                <w:sz w:val="32"/>
                <w:szCs w:val="32"/>
              </w:rPr>
            </w:pPr>
            <w:r>
              <w:rPr>
                <w:rFonts w:ascii="Arial" w:hAnsi="Arial" w:cs="Arial"/>
                <w:b/>
                <w:bCs/>
                <w:color w:val="FFFFFF" w:themeColor="background1"/>
                <w:sz w:val="32"/>
                <w:szCs w:val="32"/>
              </w:rPr>
              <w:lastRenderedPageBreak/>
              <w:t>Some Ethical Prompts</w:t>
            </w:r>
          </w:p>
        </w:tc>
      </w:tr>
    </w:tbl>
    <w:p w14:paraId="457E351A" w14:textId="77777777" w:rsidR="004214ED" w:rsidRPr="00D26405" w:rsidRDefault="004214ED" w:rsidP="004214ED">
      <w:pPr>
        <w:pStyle w:val="NoSpacing"/>
        <w:rPr>
          <w:rFonts w:ascii="Arial" w:hAnsi="Arial" w:cs="Arial"/>
          <w:b/>
          <w:bCs/>
          <w:iCs/>
          <w:color w:val="005BBB"/>
          <w:sz w:val="8"/>
          <w:szCs w:val="8"/>
        </w:rPr>
      </w:pPr>
    </w:p>
    <w:p w14:paraId="15C81232" w14:textId="77777777" w:rsidR="004214ED" w:rsidRDefault="004214ED" w:rsidP="004214ED">
      <w:pPr>
        <w:pStyle w:val="NoSpacing"/>
        <w:rPr>
          <w:rFonts w:ascii="Arial" w:hAnsi="Arial" w:cs="Arial"/>
          <w:b/>
          <w:bCs/>
          <w:iCs/>
          <w:color w:val="005BBB"/>
          <w:sz w:val="8"/>
          <w:szCs w:val="8"/>
        </w:rPr>
      </w:pPr>
      <w:r w:rsidRPr="00B12BDC">
        <w:rPr>
          <w:noProof/>
          <w:sz w:val="2"/>
          <w:szCs w:val="2"/>
        </w:rPr>
        <mc:AlternateContent>
          <mc:Choice Requires="wps">
            <w:drawing>
              <wp:anchor distT="45720" distB="45720" distL="114300" distR="114300" simplePos="0" relativeHeight="251666432" behindDoc="1" locked="0" layoutInCell="1" allowOverlap="1" wp14:anchorId="424AC7AB" wp14:editId="49DABE37">
                <wp:simplePos x="0" y="0"/>
                <wp:positionH relativeFrom="margin">
                  <wp:align>right</wp:align>
                </wp:positionH>
                <wp:positionV relativeFrom="paragraph">
                  <wp:posOffset>13970</wp:posOffset>
                </wp:positionV>
                <wp:extent cx="3063875" cy="6038850"/>
                <wp:effectExtent l="0" t="0" r="22225" b="19050"/>
                <wp:wrapTight wrapText="bothSides">
                  <wp:wrapPolygon edited="0">
                    <wp:start x="0" y="0"/>
                    <wp:lineTo x="0" y="21600"/>
                    <wp:lineTo x="21622" y="21600"/>
                    <wp:lineTo x="21622"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6038850"/>
                        </a:xfrm>
                        <a:prstGeom prst="rect">
                          <a:avLst/>
                        </a:prstGeom>
                        <a:solidFill>
                          <a:schemeClr val="bg1">
                            <a:lumMod val="95000"/>
                          </a:schemeClr>
                        </a:solidFill>
                        <a:ln w="15875">
                          <a:solidFill>
                            <a:srgbClr val="005BBB"/>
                          </a:solidFill>
                          <a:miter lim="800000"/>
                          <a:headEnd/>
                          <a:tailEnd/>
                        </a:ln>
                      </wps:spPr>
                      <wps:txbx>
                        <w:txbxContent>
                          <w:p w14:paraId="0885E226" w14:textId="77777777" w:rsidR="004214ED" w:rsidRPr="00F4054A" w:rsidRDefault="004214ED" w:rsidP="004214ED">
                            <w:pPr>
                              <w:rPr>
                                <w:rFonts w:ascii="Arial" w:hAnsi="Arial" w:cs="Arial"/>
                                <w:b/>
                                <w:bCs/>
                                <w:color w:val="005BBB"/>
                              </w:rPr>
                            </w:pPr>
                            <w:r>
                              <w:rPr>
                                <w:rFonts w:ascii="Arial" w:hAnsi="Arial" w:cs="Arial"/>
                                <w:b/>
                                <w:bCs/>
                                <w:color w:val="005BBB"/>
                              </w:rPr>
                              <w:t>Learn while you’re on the go</w:t>
                            </w:r>
                          </w:p>
                          <w:p w14:paraId="13418B1F" w14:textId="77777777" w:rsidR="004214ED" w:rsidRDefault="00E23108" w:rsidP="004214ED">
                            <w:pPr>
                              <w:pStyle w:val="NoSpacing"/>
                              <w:rPr>
                                <w:rStyle w:val="normaltextrun"/>
                              </w:rPr>
                            </w:pPr>
                            <w:hyperlink r:id="rId43" w:history="1">
                              <w:r w:rsidR="004214ED" w:rsidRPr="00EE1F02">
                                <w:rPr>
                                  <w:rStyle w:val="Hyperlink"/>
                                  <w:rFonts w:ascii="Arial" w:hAnsi="Arial" w:cs="Arial"/>
                                  <w:i/>
                                  <w:iCs/>
                                  <w:sz w:val="22"/>
                                </w:rPr>
                                <w:t>Ethically Speaking</w:t>
                              </w:r>
                              <w:r w:rsidR="004214ED" w:rsidRPr="00EE1F02">
                                <w:rPr>
                                  <w:rStyle w:val="Hyperlink"/>
                                  <w:rFonts w:ascii="Arial" w:hAnsi="Arial" w:cs="Arial"/>
                                  <w:sz w:val="22"/>
                                </w:rPr>
                                <w:t>, the podcast of the AICPA Professional Ethics Division,</w:t>
                              </w:r>
                            </w:hyperlink>
                            <w:r w:rsidR="004214ED" w:rsidRPr="00EE1F02">
                              <w:rPr>
                                <w:rStyle w:val="normaltextrun"/>
                                <w:rFonts w:ascii="Arial" w:hAnsi="Arial" w:cs="Arial"/>
                                <w:sz w:val="22"/>
                              </w:rPr>
                              <w:t xml:space="preserve"> is designed to</w:t>
                            </w:r>
                            <w:r w:rsidR="004214ED">
                              <w:rPr>
                                <w:rStyle w:val="normaltextrun"/>
                                <w:rFonts w:ascii="Arial" w:hAnsi="Arial" w:cs="Arial"/>
                                <w:sz w:val="22"/>
                              </w:rPr>
                              <w:t>:</w:t>
                            </w:r>
                          </w:p>
                          <w:p w14:paraId="5482EA65" w14:textId="77777777" w:rsidR="004214ED" w:rsidRPr="00EE1F02" w:rsidRDefault="004214ED" w:rsidP="004214ED">
                            <w:pPr>
                              <w:pStyle w:val="NoSpacing"/>
                              <w:numPr>
                                <w:ilvl w:val="0"/>
                                <w:numId w:val="13"/>
                              </w:numPr>
                              <w:rPr>
                                <w:rFonts w:ascii="Arial" w:hAnsi="Arial" w:cs="Arial"/>
                                <w:sz w:val="22"/>
                              </w:rPr>
                            </w:pPr>
                            <w:r w:rsidRPr="00EE1F02">
                              <w:rPr>
                                <w:rStyle w:val="normaltextrun"/>
                                <w:rFonts w:ascii="Arial" w:hAnsi="Arial" w:cs="Arial"/>
                                <w:sz w:val="22"/>
                              </w:rPr>
                              <w:t>bring you up-to-date information on ethics matters relevant to your practice,</w:t>
                            </w:r>
                            <w:r w:rsidRPr="00EE1F02">
                              <w:rPr>
                                <w:rStyle w:val="eop"/>
                                <w:rFonts w:ascii="Arial" w:hAnsi="Arial" w:cs="Arial"/>
                                <w:sz w:val="22"/>
                              </w:rPr>
                              <w:t> </w:t>
                            </w:r>
                          </w:p>
                          <w:p w14:paraId="3D66FF21" w14:textId="77777777" w:rsidR="004214ED" w:rsidRPr="00EE1F02" w:rsidRDefault="004214ED" w:rsidP="004214ED">
                            <w:pPr>
                              <w:pStyle w:val="NoSpacing"/>
                              <w:numPr>
                                <w:ilvl w:val="0"/>
                                <w:numId w:val="13"/>
                              </w:numPr>
                              <w:rPr>
                                <w:rFonts w:ascii="Arial" w:hAnsi="Arial" w:cs="Arial"/>
                                <w:sz w:val="22"/>
                              </w:rPr>
                            </w:pPr>
                            <w:r w:rsidRPr="00EE1F02">
                              <w:rPr>
                                <w:rStyle w:val="normaltextrun"/>
                                <w:rFonts w:ascii="Arial" w:hAnsi="Arial" w:cs="Arial"/>
                                <w:sz w:val="22"/>
                              </w:rPr>
                              <w:t>keep you aware of the activities of the AICPA Professional Ethics Division, and </w:t>
                            </w:r>
                            <w:r w:rsidRPr="00EE1F02">
                              <w:rPr>
                                <w:rStyle w:val="eop"/>
                                <w:rFonts w:ascii="Arial" w:hAnsi="Arial" w:cs="Arial"/>
                                <w:sz w:val="22"/>
                              </w:rPr>
                              <w:t> </w:t>
                            </w:r>
                          </w:p>
                          <w:p w14:paraId="3356780B" w14:textId="77777777" w:rsidR="004214ED" w:rsidRDefault="004214ED" w:rsidP="004214ED">
                            <w:pPr>
                              <w:pStyle w:val="NoSpacing"/>
                              <w:numPr>
                                <w:ilvl w:val="0"/>
                                <w:numId w:val="13"/>
                              </w:numPr>
                              <w:rPr>
                                <w:rStyle w:val="normaltextrun"/>
                                <w:rFonts w:ascii="Arial" w:hAnsi="Arial" w:cs="Arial"/>
                                <w:sz w:val="22"/>
                              </w:rPr>
                            </w:pPr>
                            <w:r w:rsidRPr="00EE1F02">
                              <w:rPr>
                                <w:rStyle w:val="normaltextrun"/>
                                <w:rFonts w:ascii="Arial" w:hAnsi="Arial" w:cs="Arial"/>
                                <w:sz w:val="22"/>
                              </w:rPr>
                              <w:t>offer ongoing ethics education.</w:t>
                            </w:r>
                          </w:p>
                          <w:p w14:paraId="17481CC8" w14:textId="77777777" w:rsidR="004214ED" w:rsidRPr="00EE1F02" w:rsidRDefault="004214ED" w:rsidP="004214ED">
                            <w:pPr>
                              <w:pStyle w:val="NoSpacing"/>
                              <w:ind w:left="720"/>
                              <w:rPr>
                                <w:rStyle w:val="normaltextrun"/>
                                <w:rFonts w:ascii="Arial" w:hAnsi="Arial" w:cs="Arial"/>
                                <w:sz w:val="22"/>
                              </w:rPr>
                            </w:pPr>
                          </w:p>
                          <w:p w14:paraId="4484F5E1" w14:textId="77777777" w:rsidR="004214ED" w:rsidRDefault="004214ED" w:rsidP="004214ED">
                            <w:pPr>
                              <w:pStyle w:val="NoSpacing"/>
                              <w:rPr>
                                <w:rStyle w:val="normaltextrun"/>
                                <w:rFonts w:ascii="Arial" w:hAnsi="Arial" w:cs="Arial"/>
                                <w:sz w:val="22"/>
                              </w:rPr>
                            </w:pPr>
                            <w:r w:rsidRPr="00EE1F02">
                              <w:rPr>
                                <w:rStyle w:val="normaltextrun"/>
                                <w:rFonts w:ascii="Arial" w:hAnsi="Arial" w:cs="Arial"/>
                                <w:sz w:val="22"/>
                              </w:rPr>
                              <w:t>If you haven’t had a chance to check it out, now is a good time. In addition to member enrichment topics and our ongoing series that gives highlights of PEEC’s quarterly meetings, we have some exciting new series coming up</w:t>
                            </w:r>
                            <w:r>
                              <w:rPr>
                                <w:rStyle w:val="normaltextrun"/>
                                <w:rFonts w:ascii="Arial" w:hAnsi="Arial" w:cs="Arial"/>
                                <w:sz w:val="22"/>
                              </w:rPr>
                              <w:t>!</w:t>
                            </w:r>
                          </w:p>
                          <w:p w14:paraId="3BD98EAE" w14:textId="77777777" w:rsidR="004214ED" w:rsidRDefault="004214ED" w:rsidP="004214ED">
                            <w:pPr>
                              <w:pStyle w:val="NoSpacing"/>
                              <w:rPr>
                                <w:rStyle w:val="normaltextrun"/>
                                <w:rFonts w:ascii="Arial" w:hAnsi="Arial" w:cs="Arial"/>
                                <w:sz w:val="22"/>
                              </w:rPr>
                            </w:pPr>
                          </w:p>
                          <w:p w14:paraId="2443902A" w14:textId="77777777" w:rsidR="004214ED" w:rsidRPr="00EE1F02" w:rsidRDefault="004214ED" w:rsidP="004214ED">
                            <w:pPr>
                              <w:pStyle w:val="NoSpacing"/>
                              <w:numPr>
                                <w:ilvl w:val="0"/>
                                <w:numId w:val="28"/>
                              </w:numPr>
                              <w:rPr>
                                <w:rStyle w:val="normaltextrun"/>
                                <w:rFonts w:ascii="Arial" w:hAnsi="Arial" w:cs="Arial"/>
                                <w:sz w:val="22"/>
                              </w:rPr>
                            </w:pPr>
                            <w:r w:rsidRPr="00EE1F02">
                              <w:rPr>
                                <w:rStyle w:val="normaltextrun"/>
                                <w:rFonts w:ascii="Arial" w:hAnsi="Arial" w:cs="Arial"/>
                                <w:sz w:val="22"/>
                              </w:rPr>
                              <w:t>Back to basics – A limited series for both members in business and members in public practice that will cover the foundations of professional ethics. Look for this series sometime in the second half of 2021.</w:t>
                            </w:r>
                          </w:p>
                          <w:p w14:paraId="4EFE64C3" w14:textId="77777777" w:rsidR="004214ED" w:rsidRDefault="004214ED" w:rsidP="004214ED">
                            <w:pPr>
                              <w:pStyle w:val="NoSpacing"/>
                              <w:numPr>
                                <w:ilvl w:val="0"/>
                                <w:numId w:val="28"/>
                              </w:numPr>
                              <w:rPr>
                                <w:rStyle w:val="normaltextrun"/>
                                <w:rFonts w:ascii="Arial" w:hAnsi="Arial" w:cs="Arial"/>
                                <w:sz w:val="22"/>
                              </w:rPr>
                            </w:pPr>
                            <w:r w:rsidRPr="00EE1F02">
                              <w:rPr>
                                <w:rStyle w:val="normaltextrun"/>
                                <w:rFonts w:ascii="Arial" w:hAnsi="Arial" w:cs="Arial"/>
                                <w:sz w:val="22"/>
                              </w:rPr>
                              <w:t xml:space="preserve">What’s hot on the hotline? – An ongoing series that surveys trends in calls to the ethics division hotline. Look for the first episode in this series in mid-May — records requests and nonattest services are on the agenda. </w:t>
                            </w:r>
                          </w:p>
                          <w:p w14:paraId="106C6DF3" w14:textId="77777777" w:rsidR="004214ED" w:rsidRPr="00EE1F02" w:rsidRDefault="004214ED" w:rsidP="004214ED">
                            <w:pPr>
                              <w:pStyle w:val="NoSpacing"/>
                              <w:ind w:left="720"/>
                              <w:rPr>
                                <w:rFonts w:ascii="Arial" w:hAnsi="Arial" w:cs="Arial"/>
                                <w:sz w:val="22"/>
                              </w:rPr>
                            </w:pPr>
                          </w:p>
                          <w:p w14:paraId="2AC2C657" w14:textId="77777777" w:rsidR="004214ED" w:rsidRPr="00280C9B" w:rsidRDefault="004214ED" w:rsidP="004214ED">
                            <w:pPr>
                              <w:rPr>
                                <w:rFonts w:ascii="Arial" w:hAnsi="Arial" w:cs="Arial"/>
                                <w:b/>
                                <w:bCs/>
                                <w:color w:val="005BBB"/>
                                <w:sz w:val="16"/>
                                <w:szCs w:val="16"/>
                              </w:rPr>
                            </w:pPr>
                            <w:r w:rsidRPr="00EE1F02">
                              <w:rPr>
                                <w:rFonts w:ascii="Arial" w:hAnsi="Arial" w:cs="Arial"/>
                              </w:rPr>
                              <w:t xml:space="preserve">You can find and subscribe to </w:t>
                            </w:r>
                            <w:r w:rsidRPr="00EE1F02">
                              <w:rPr>
                                <w:rFonts w:ascii="Arial" w:hAnsi="Arial" w:cs="Arial"/>
                                <w:i/>
                              </w:rPr>
                              <w:t>Ethically Speaking</w:t>
                            </w:r>
                            <w:r w:rsidRPr="00EE1F02">
                              <w:rPr>
                                <w:rFonts w:ascii="Arial" w:hAnsi="Arial" w:cs="Arial"/>
                              </w:rPr>
                              <w:t xml:space="preserve"> on </w:t>
                            </w:r>
                            <w:hyperlink r:id="rId44">
                              <w:r w:rsidRPr="00EE1F02">
                                <w:rPr>
                                  <w:rStyle w:val="Hyperlink"/>
                                  <w:rFonts w:ascii="Arial" w:hAnsi="Arial" w:cs="Arial"/>
                                </w:rPr>
                                <w:t>iTunes</w:t>
                              </w:r>
                            </w:hyperlink>
                            <w:r w:rsidRPr="00EE1F02">
                              <w:rPr>
                                <w:rFonts w:ascii="Arial" w:hAnsi="Arial" w:cs="Arial"/>
                              </w:rPr>
                              <w:t xml:space="preserve">, </w:t>
                            </w:r>
                            <w:hyperlink r:id="rId45">
                              <w:r w:rsidRPr="00EE1F02">
                                <w:rPr>
                                  <w:rStyle w:val="Hyperlink"/>
                                  <w:rFonts w:ascii="Arial" w:hAnsi="Arial" w:cs="Arial"/>
                                </w:rPr>
                                <w:t>Google Podcasts</w:t>
                              </w:r>
                            </w:hyperlink>
                            <w:r w:rsidRPr="00EE1F02">
                              <w:rPr>
                                <w:rFonts w:ascii="Arial" w:hAnsi="Arial" w:cs="Arial"/>
                              </w:rPr>
                              <w:t>, or wherever you listen to podcasts. Just search for “Ethically Speaking” and look for the jolly citrus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AC7AB" id="_x0000_s1028" type="#_x0000_t202" style="position:absolute;margin-left:190.05pt;margin-top:1.1pt;width:241.25pt;height:475.5pt;z-index:-251650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" fillcolor="#f2f2f2 [3052]" strokecolor="#005bbb" strokeweight="1.25pt">
                <v:textbox>
                  <w:txbxContent>
                    <w:p w14:paraId="0885E226" w14:textId="77777777" w:rsidR="004214ED" w:rsidRPr="00F4054A" w:rsidRDefault="004214ED" w:rsidP="004214ED">
                      <w:pPr>
                        <w:rPr>
                          <w:rFonts w:ascii="Arial" w:hAnsi="Arial" w:cs="Arial"/>
                          <w:b/>
                          <w:bCs/>
                          <w:color w:val="005BBB"/>
                        </w:rPr>
                      </w:pPr>
                      <w:r>
                        <w:rPr>
                          <w:rFonts w:ascii="Arial" w:hAnsi="Arial" w:cs="Arial"/>
                          <w:b/>
                          <w:bCs/>
                          <w:color w:val="005BBB"/>
                        </w:rPr>
                        <w:t>Learn while you’re on the go</w:t>
                      </w:r>
                    </w:p>
                    <w:p w14:paraId="13418B1F" w14:textId="77777777" w:rsidR="004214ED" w:rsidRDefault="00E23108" w:rsidP="004214ED">
                      <w:pPr>
                        <w:pStyle w:val="NoSpacing"/>
                        <w:rPr>
                          <w:rStyle w:val="normaltextrun"/>
                        </w:rPr>
                      </w:pPr>
                      <w:hyperlink r:id="rId46" w:history="1">
                        <w:r w:rsidR="004214ED" w:rsidRPr="00EE1F02">
                          <w:rPr>
                            <w:rStyle w:val="Hyperlink"/>
                            <w:rFonts w:ascii="Arial" w:hAnsi="Arial" w:cs="Arial"/>
                            <w:i/>
                            <w:iCs/>
                            <w:sz w:val="22"/>
                          </w:rPr>
                          <w:t>Ethically Speaking</w:t>
                        </w:r>
                        <w:r w:rsidR="004214ED" w:rsidRPr="00EE1F02">
                          <w:rPr>
                            <w:rStyle w:val="Hyperlink"/>
                            <w:rFonts w:ascii="Arial" w:hAnsi="Arial" w:cs="Arial"/>
                            <w:sz w:val="22"/>
                          </w:rPr>
                          <w:t>, the podcast of the AICPA Professional Ethics Division,</w:t>
                        </w:r>
                      </w:hyperlink>
                      <w:r w:rsidR="004214ED" w:rsidRPr="00EE1F02">
                        <w:rPr>
                          <w:rStyle w:val="normaltextrun"/>
                          <w:rFonts w:ascii="Arial" w:hAnsi="Arial" w:cs="Arial"/>
                          <w:sz w:val="22"/>
                        </w:rPr>
                        <w:t xml:space="preserve"> is designed to</w:t>
                      </w:r>
                      <w:r w:rsidR="004214ED">
                        <w:rPr>
                          <w:rStyle w:val="normaltextrun"/>
                          <w:rFonts w:ascii="Arial" w:hAnsi="Arial" w:cs="Arial"/>
                          <w:sz w:val="22"/>
                        </w:rPr>
                        <w:t>:</w:t>
                      </w:r>
                    </w:p>
                    <w:p w14:paraId="5482EA65" w14:textId="77777777" w:rsidR="004214ED" w:rsidRPr="00EE1F02" w:rsidRDefault="004214ED" w:rsidP="004214ED">
                      <w:pPr>
                        <w:pStyle w:val="NoSpacing"/>
                        <w:numPr>
                          <w:ilvl w:val="0"/>
                          <w:numId w:val="13"/>
                        </w:numPr>
                        <w:rPr>
                          <w:rFonts w:ascii="Arial" w:hAnsi="Arial" w:cs="Arial"/>
                          <w:sz w:val="22"/>
                        </w:rPr>
                      </w:pPr>
                      <w:r w:rsidRPr="00EE1F02">
                        <w:rPr>
                          <w:rStyle w:val="normaltextrun"/>
                          <w:rFonts w:ascii="Arial" w:hAnsi="Arial" w:cs="Arial"/>
                          <w:sz w:val="22"/>
                        </w:rPr>
                        <w:t>bring you up-to-date information on ethics matters relevant to your practice,</w:t>
                      </w:r>
                      <w:r w:rsidRPr="00EE1F02">
                        <w:rPr>
                          <w:rStyle w:val="eop"/>
                          <w:rFonts w:ascii="Arial" w:hAnsi="Arial" w:cs="Arial"/>
                          <w:sz w:val="22"/>
                        </w:rPr>
                        <w:t> </w:t>
                      </w:r>
                    </w:p>
                    <w:p w14:paraId="3D66FF21" w14:textId="77777777" w:rsidR="004214ED" w:rsidRPr="00EE1F02" w:rsidRDefault="004214ED" w:rsidP="004214ED">
                      <w:pPr>
                        <w:pStyle w:val="NoSpacing"/>
                        <w:numPr>
                          <w:ilvl w:val="0"/>
                          <w:numId w:val="13"/>
                        </w:numPr>
                        <w:rPr>
                          <w:rFonts w:ascii="Arial" w:hAnsi="Arial" w:cs="Arial"/>
                          <w:sz w:val="22"/>
                        </w:rPr>
                      </w:pPr>
                      <w:r w:rsidRPr="00EE1F02">
                        <w:rPr>
                          <w:rStyle w:val="normaltextrun"/>
                          <w:rFonts w:ascii="Arial" w:hAnsi="Arial" w:cs="Arial"/>
                          <w:sz w:val="22"/>
                        </w:rPr>
                        <w:t>keep you aware of the activities of the AICPA Professional Ethics Division, and </w:t>
                      </w:r>
                      <w:r w:rsidRPr="00EE1F02">
                        <w:rPr>
                          <w:rStyle w:val="eop"/>
                          <w:rFonts w:ascii="Arial" w:hAnsi="Arial" w:cs="Arial"/>
                          <w:sz w:val="22"/>
                        </w:rPr>
                        <w:t> </w:t>
                      </w:r>
                    </w:p>
                    <w:p w14:paraId="3356780B" w14:textId="77777777" w:rsidR="004214ED" w:rsidRDefault="004214ED" w:rsidP="004214ED">
                      <w:pPr>
                        <w:pStyle w:val="NoSpacing"/>
                        <w:numPr>
                          <w:ilvl w:val="0"/>
                          <w:numId w:val="13"/>
                        </w:numPr>
                        <w:rPr>
                          <w:rStyle w:val="normaltextrun"/>
                          <w:rFonts w:ascii="Arial" w:hAnsi="Arial" w:cs="Arial"/>
                          <w:sz w:val="22"/>
                        </w:rPr>
                      </w:pPr>
                      <w:r w:rsidRPr="00EE1F02">
                        <w:rPr>
                          <w:rStyle w:val="normaltextrun"/>
                          <w:rFonts w:ascii="Arial" w:hAnsi="Arial" w:cs="Arial"/>
                          <w:sz w:val="22"/>
                        </w:rPr>
                        <w:t>offer ongoing ethics education.</w:t>
                      </w:r>
                    </w:p>
                    <w:p w14:paraId="17481CC8" w14:textId="77777777" w:rsidR="004214ED" w:rsidRPr="00EE1F02" w:rsidRDefault="004214ED" w:rsidP="004214ED">
                      <w:pPr>
                        <w:pStyle w:val="NoSpacing"/>
                        <w:ind w:left="720"/>
                        <w:rPr>
                          <w:rStyle w:val="normaltextrun"/>
                          <w:rFonts w:ascii="Arial" w:hAnsi="Arial" w:cs="Arial"/>
                          <w:sz w:val="22"/>
                        </w:rPr>
                      </w:pPr>
                    </w:p>
                    <w:p w14:paraId="4484F5E1" w14:textId="77777777" w:rsidR="004214ED" w:rsidRDefault="004214ED" w:rsidP="004214ED">
                      <w:pPr>
                        <w:pStyle w:val="NoSpacing"/>
                        <w:rPr>
                          <w:rStyle w:val="normaltextrun"/>
                          <w:rFonts w:ascii="Arial" w:hAnsi="Arial" w:cs="Arial"/>
                          <w:sz w:val="22"/>
                        </w:rPr>
                      </w:pPr>
                      <w:r w:rsidRPr="00EE1F02">
                        <w:rPr>
                          <w:rStyle w:val="normaltextrun"/>
                          <w:rFonts w:ascii="Arial" w:hAnsi="Arial" w:cs="Arial"/>
                          <w:sz w:val="22"/>
                        </w:rPr>
                        <w:t>If you haven’t had a chance to check it out, now is a good time. In addition to member enrichment topics and our ongoing series that gives highlights of PEEC’s quarterly meetings, we have some exciting new series coming up</w:t>
                      </w:r>
                      <w:r>
                        <w:rPr>
                          <w:rStyle w:val="normaltextrun"/>
                          <w:rFonts w:ascii="Arial" w:hAnsi="Arial" w:cs="Arial"/>
                          <w:sz w:val="22"/>
                        </w:rPr>
                        <w:t>!</w:t>
                      </w:r>
                    </w:p>
                    <w:p w14:paraId="3BD98EAE" w14:textId="77777777" w:rsidR="004214ED" w:rsidRDefault="004214ED" w:rsidP="004214ED">
                      <w:pPr>
                        <w:pStyle w:val="NoSpacing"/>
                        <w:rPr>
                          <w:rStyle w:val="normaltextrun"/>
                          <w:rFonts w:ascii="Arial" w:hAnsi="Arial" w:cs="Arial"/>
                          <w:sz w:val="22"/>
                        </w:rPr>
                      </w:pPr>
                    </w:p>
                    <w:p w14:paraId="2443902A" w14:textId="77777777" w:rsidR="004214ED" w:rsidRPr="00EE1F02" w:rsidRDefault="004214ED" w:rsidP="004214ED">
                      <w:pPr>
                        <w:pStyle w:val="NoSpacing"/>
                        <w:numPr>
                          <w:ilvl w:val="0"/>
                          <w:numId w:val="28"/>
                        </w:numPr>
                        <w:rPr>
                          <w:rStyle w:val="normaltextrun"/>
                          <w:rFonts w:ascii="Arial" w:hAnsi="Arial" w:cs="Arial"/>
                          <w:sz w:val="22"/>
                        </w:rPr>
                      </w:pPr>
                      <w:r w:rsidRPr="00EE1F02">
                        <w:rPr>
                          <w:rStyle w:val="normaltextrun"/>
                          <w:rFonts w:ascii="Arial" w:hAnsi="Arial" w:cs="Arial"/>
                          <w:sz w:val="22"/>
                        </w:rPr>
                        <w:t>Back to basics – A limited series for both members in business and members in public practice that will cover the foundations of professional ethics. Look for this series sometime in the second half of 2021.</w:t>
                      </w:r>
                    </w:p>
                    <w:p w14:paraId="4EFE64C3" w14:textId="77777777" w:rsidR="004214ED" w:rsidRDefault="004214ED" w:rsidP="004214ED">
                      <w:pPr>
                        <w:pStyle w:val="NoSpacing"/>
                        <w:numPr>
                          <w:ilvl w:val="0"/>
                          <w:numId w:val="28"/>
                        </w:numPr>
                        <w:rPr>
                          <w:rStyle w:val="normaltextrun"/>
                          <w:rFonts w:ascii="Arial" w:hAnsi="Arial" w:cs="Arial"/>
                          <w:sz w:val="22"/>
                        </w:rPr>
                      </w:pPr>
                      <w:r w:rsidRPr="00EE1F02">
                        <w:rPr>
                          <w:rStyle w:val="normaltextrun"/>
                          <w:rFonts w:ascii="Arial" w:hAnsi="Arial" w:cs="Arial"/>
                          <w:sz w:val="22"/>
                        </w:rPr>
                        <w:t xml:space="preserve">What’s hot on the hotline? – An ongoing series that surveys trends in calls to the ethics division hotline. Look for the first episode in this series in mid-May — records requests and nonattest services are on the agenda. </w:t>
                      </w:r>
                    </w:p>
                    <w:p w14:paraId="106C6DF3" w14:textId="77777777" w:rsidR="004214ED" w:rsidRPr="00EE1F02" w:rsidRDefault="004214ED" w:rsidP="004214ED">
                      <w:pPr>
                        <w:pStyle w:val="NoSpacing"/>
                        <w:ind w:left="720"/>
                        <w:rPr>
                          <w:rFonts w:ascii="Arial" w:hAnsi="Arial" w:cs="Arial"/>
                          <w:sz w:val="22"/>
                        </w:rPr>
                      </w:pPr>
                    </w:p>
                    <w:p w14:paraId="2AC2C657" w14:textId="77777777" w:rsidR="004214ED" w:rsidRPr="00280C9B" w:rsidRDefault="004214ED" w:rsidP="004214ED">
                      <w:pPr>
                        <w:rPr>
                          <w:rFonts w:ascii="Arial" w:hAnsi="Arial" w:cs="Arial"/>
                          <w:b/>
                          <w:bCs/>
                          <w:color w:val="005BBB"/>
                          <w:sz w:val="16"/>
                          <w:szCs w:val="16"/>
                        </w:rPr>
                      </w:pPr>
                      <w:r w:rsidRPr="00EE1F02">
                        <w:rPr>
                          <w:rFonts w:ascii="Arial" w:hAnsi="Arial" w:cs="Arial"/>
                        </w:rPr>
                        <w:t xml:space="preserve">You can find and subscribe to </w:t>
                      </w:r>
                      <w:r w:rsidRPr="00EE1F02">
                        <w:rPr>
                          <w:rFonts w:ascii="Arial" w:hAnsi="Arial" w:cs="Arial"/>
                          <w:i/>
                        </w:rPr>
                        <w:t>Ethically Speaking</w:t>
                      </w:r>
                      <w:r w:rsidRPr="00EE1F02">
                        <w:rPr>
                          <w:rFonts w:ascii="Arial" w:hAnsi="Arial" w:cs="Arial"/>
                        </w:rPr>
                        <w:t xml:space="preserve"> on </w:t>
                      </w:r>
                      <w:hyperlink r:id="rId47">
                        <w:r w:rsidRPr="00EE1F02">
                          <w:rPr>
                            <w:rStyle w:val="Hyperlink"/>
                            <w:rFonts w:ascii="Arial" w:hAnsi="Arial" w:cs="Arial"/>
                          </w:rPr>
                          <w:t>iTunes</w:t>
                        </w:r>
                      </w:hyperlink>
                      <w:r w:rsidRPr="00EE1F02">
                        <w:rPr>
                          <w:rFonts w:ascii="Arial" w:hAnsi="Arial" w:cs="Arial"/>
                        </w:rPr>
                        <w:t xml:space="preserve">, </w:t>
                      </w:r>
                      <w:hyperlink r:id="rId48">
                        <w:r w:rsidRPr="00EE1F02">
                          <w:rPr>
                            <w:rStyle w:val="Hyperlink"/>
                            <w:rFonts w:ascii="Arial" w:hAnsi="Arial" w:cs="Arial"/>
                          </w:rPr>
                          <w:t>Google Podcasts</w:t>
                        </w:r>
                      </w:hyperlink>
                      <w:r w:rsidRPr="00EE1F02">
                        <w:rPr>
                          <w:rFonts w:ascii="Arial" w:hAnsi="Arial" w:cs="Arial"/>
                        </w:rPr>
                        <w:t>, or wherever you listen to podcasts. Just search for “Ethically Speaking” and look for the jolly citrus logo.</w:t>
                      </w:r>
                    </w:p>
                  </w:txbxContent>
                </v:textbox>
                <w10:wrap type="tight" anchorx="margin"/>
              </v:shape>
            </w:pict>
          </mc:Fallback>
        </mc:AlternateContent>
      </w:r>
      <w:r w:rsidRPr="00EE1F02">
        <w:rPr>
          <w:rFonts w:ascii="Arial" w:hAnsi="Arial" w:cs="Arial"/>
          <w:b/>
          <w:bCs/>
          <w:iCs/>
          <w:color w:val="005BBB"/>
          <w:sz w:val="22"/>
        </w:rPr>
        <w:t>Let’s hear it for NOCLAR</w:t>
      </w:r>
    </w:p>
    <w:p w14:paraId="376EC349" w14:textId="77777777" w:rsidR="004214ED" w:rsidRPr="00EE1F02" w:rsidRDefault="004214ED" w:rsidP="004214ED">
      <w:pPr>
        <w:pStyle w:val="NoSpacing"/>
        <w:rPr>
          <w:rFonts w:ascii="Arial" w:hAnsi="Arial" w:cs="Arial"/>
          <w:b/>
          <w:bCs/>
          <w:iCs/>
          <w:color w:val="005BBB"/>
          <w:sz w:val="8"/>
          <w:szCs w:val="8"/>
        </w:rPr>
      </w:pPr>
    </w:p>
    <w:p w14:paraId="2F46870F" w14:textId="77777777" w:rsidR="004214ED" w:rsidRDefault="004214ED" w:rsidP="004214ED">
      <w:pPr>
        <w:pStyle w:val="NoSpacing"/>
        <w:rPr>
          <w:rFonts w:ascii="Arial" w:hAnsi="Arial" w:cs="Arial"/>
          <w:sz w:val="22"/>
        </w:rPr>
      </w:pPr>
      <w:r w:rsidRPr="00EE1F02">
        <w:rPr>
          <w:rFonts w:ascii="Arial" w:hAnsi="Arial" w:cs="Arial"/>
          <w:sz w:val="22"/>
        </w:rPr>
        <w:t xml:space="preserve">Noncompliance with laws and regulations (NOCLAR) is on the agendas of several standards-setting bodies these days, both in the United States and internationally. The AICPA Professional Ethics Executive Committee (PEEC) and Auditing Standards Board (ASB) are no exception and both executive bodies have exposure drafts out right now on this important topic. </w:t>
      </w:r>
    </w:p>
    <w:p w14:paraId="3FB8257D" w14:textId="77777777" w:rsidR="004214ED" w:rsidRPr="00EE1F02" w:rsidRDefault="004214ED" w:rsidP="004214ED">
      <w:pPr>
        <w:pStyle w:val="NoSpacing"/>
        <w:rPr>
          <w:rFonts w:ascii="Arial" w:hAnsi="Arial" w:cs="Arial"/>
          <w:sz w:val="22"/>
        </w:rPr>
      </w:pPr>
    </w:p>
    <w:p w14:paraId="1682FA7D" w14:textId="77777777" w:rsidR="004214ED" w:rsidRDefault="004214ED" w:rsidP="004214ED">
      <w:pPr>
        <w:pStyle w:val="NoSpacing"/>
        <w:rPr>
          <w:rFonts w:ascii="Arial" w:hAnsi="Arial" w:cs="Arial"/>
          <w:sz w:val="22"/>
        </w:rPr>
      </w:pPr>
      <w:r w:rsidRPr="00EE1F02">
        <w:rPr>
          <w:rFonts w:ascii="Arial" w:hAnsi="Arial" w:cs="Arial"/>
          <w:b/>
          <w:bCs/>
          <w:sz w:val="22"/>
        </w:rPr>
        <w:t>Comments are due June 30</w:t>
      </w:r>
      <w:r w:rsidRPr="00EE1F02">
        <w:rPr>
          <w:rFonts w:ascii="Arial" w:hAnsi="Arial" w:cs="Arial"/>
          <w:sz w:val="22"/>
        </w:rPr>
        <w:t xml:space="preserve"> for both exposure drafts, so you still have time to send your thoughts on the proposals. </w:t>
      </w:r>
    </w:p>
    <w:p w14:paraId="39D04B3A" w14:textId="77777777" w:rsidR="004214ED" w:rsidRPr="00EE1F02" w:rsidRDefault="004214ED" w:rsidP="004214ED">
      <w:pPr>
        <w:pStyle w:val="NoSpacing"/>
        <w:rPr>
          <w:rFonts w:ascii="Arial" w:hAnsi="Arial" w:cs="Arial"/>
          <w:sz w:val="22"/>
        </w:rPr>
      </w:pPr>
    </w:p>
    <w:p w14:paraId="06E2C44B" w14:textId="77777777" w:rsidR="004214ED" w:rsidRDefault="00E23108" w:rsidP="004214ED">
      <w:pPr>
        <w:pStyle w:val="NoSpacing"/>
        <w:rPr>
          <w:rFonts w:ascii="Arial" w:hAnsi="Arial" w:cs="Arial"/>
          <w:sz w:val="22"/>
        </w:rPr>
      </w:pPr>
      <w:hyperlink r:id="rId49" w:history="1">
        <w:r w:rsidR="004214ED" w:rsidRPr="00EE1F02">
          <w:rPr>
            <w:rStyle w:val="Hyperlink"/>
            <w:rFonts w:ascii="Arial" w:hAnsi="Arial" w:cs="Arial"/>
            <w:sz w:val="22"/>
          </w:rPr>
          <w:t>PEEC’s proposal includes new NOCLAR interpretations</w:t>
        </w:r>
      </w:hyperlink>
      <w:r w:rsidR="004214ED" w:rsidRPr="00EE1F02">
        <w:rPr>
          <w:rFonts w:ascii="Arial" w:hAnsi="Arial" w:cs="Arial"/>
          <w:sz w:val="22"/>
        </w:rPr>
        <w:t xml:space="preserve"> for members in business and members in public practice and amends several other ethics interpretations. </w:t>
      </w:r>
    </w:p>
    <w:p w14:paraId="44912B04" w14:textId="77777777" w:rsidR="004214ED" w:rsidRPr="00EE1F02" w:rsidRDefault="004214ED" w:rsidP="004214ED">
      <w:pPr>
        <w:pStyle w:val="NoSpacing"/>
        <w:rPr>
          <w:rFonts w:ascii="Arial" w:hAnsi="Arial" w:cs="Arial"/>
          <w:sz w:val="22"/>
        </w:rPr>
      </w:pPr>
    </w:p>
    <w:p w14:paraId="102C1405" w14:textId="77777777" w:rsidR="004214ED" w:rsidRDefault="00E23108" w:rsidP="004214ED">
      <w:pPr>
        <w:pStyle w:val="NoSpacing"/>
        <w:rPr>
          <w:rFonts w:ascii="Arial" w:hAnsi="Arial" w:cs="Arial"/>
          <w:sz w:val="22"/>
        </w:rPr>
      </w:pPr>
      <w:hyperlink r:id="rId50" w:history="1">
        <w:r w:rsidR="004214ED" w:rsidRPr="00EE1F02">
          <w:rPr>
            <w:rStyle w:val="Hyperlink"/>
            <w:rFonts w:ascii="Arial" w:hAnsi="Arial" w:cs="Arial"/>
            <w:sz w:val="22"/>
          </w:rPr>
          <w:t>The ASB’s proposal narrowly amends AU-C section 210</w:t>
        </w:r>
      </w:hyperlink>
      <w:r w:rsidR="004214ED" w:rsidRPr="00EE1F02">
        <w:rPr>
          <w:rFonts w:ascii="Arial" w:hAnsi="Arial" w:cs="Arial"/>
          <w:sz w:val="22"/>
        </w:rPr>
        <w:t xml:space="preserve"> in </w:t>
      </w:r>
      <w:hyperlink r:id="rId51" w:history="1">
        <w:r w:rsidR="004214ED" w:rsidRPr="00EE1F02">
          <w:rPr>
            <w:rStyle w:val="Hyperlink"/>
            <w:rFonts w:ascii="Arial" w:hAnsi="Arial" w:cs="Arial"/>
            <w:sz w:val="22"/>
          </w:rPr>
          <w:t xml:space="preserve">AICPA </w:t>
        </w:r>
        <w:r w:rsidR="004214ED" w:rsidRPr="00EE1F02">
          <w:rPr>
            <w:rStyle w:val="Hyperlink"/>
            <w:rFonts w:ascii="Arial" w:hAnsi="Arial" w:cs="Arial"/>
            <w:i/>
            <w:iCs/>
            <w:sz w:val="22"/>
          </w:rPr>
          <w:t>Professional Standards</w:t>
        </w:r>
      </w:hyperlink>
      <w:r w:rsidR="004214ED" w:rsidRPr="00EE1F02">
        <w:rPr>
          <w:rFonts w:ascii="Arial" w:hAnsi="Arial" w:cs="Arial"/>
          <w:i/>
          <w:sz w:val="22"/>
        </w:rPr>
        <w:t xml:space="preserve"> </w:t>
      </w:r>
      <w:r w:rsidR="004214ED" w:rsidRPr="00EE1F02">
        <w:rPr>
          <w:rFonts w:ascii="Arial" w:hAnsi="Arial" w:cs="Arial"/>
          <w:sz w:val="22"/>
        </w:rPr>
        <w:t xml:space="preserve">to require an auditor, once management approves it, to inquire about suspected fraud and matters involving NOCLAR. Each proposal has questions to guide the input PEEC and the ASB are looking for and the AICPA would love to hear your thoughts on this important topic. </w:t>
      </w:r>
    </w:p>
    <w:p w14:paraId="0608B5F3" w14:textId="77777777" w:rsidR="004214ED" w:rsidRPr="00EE1F02" w:rsidRDefault="004214ED" w:rsidP="004214ED">
      <w:pPr>
        <w:pStyle w:val="NoSpacing"/>
        <w:rPr>
          <w:rFonts w:ascii="Arial" w:hAnsi="Arial" w:cs="Arial"/>
          <w:sz w:val="22"/>
        </w:rPr>
      </w:pPr>
    </w:p>
    <w:p w14:paraId="1738CC40" w14:textId="77777777" w:rsidR="004214ED" w:rsidRDefault="004214ED" w:rsidP="004214ED">
      <w:pPr>
        <w:pStyle w:val="NoSpacing"/>
        <w:rPr>
          <w:rFonts w:ascii="Arial" w:hAnsi="Arial" w:cs="Arial"/>
          <w:b/>
          <w:bCs/>
          <w:iCs/>
          <w:color w:val="005BBB"/>
          <w:sz w:val="8"/>
          <w:szCs w:val="8"/>
        </w:rPr>
      </w:pPr>
      <w:r w:rsidRPr="00EE1F02">
        <w:rPr>
          <w:rFonts w:ascii="Arial" w:hAnsi="Arial" w:cs="Arial"/>
          <w:b/>
          <w:bCs/>
          <w:iCs/>
          <w:color w:val="005BBB"/>
          <w:sz w:val="22"/>
        </w:rPr>
        <w:t>Have you read the latest new ethics guidance?</w:t>
      </w:r>
    </w:p>
    <w:p w14:paraId="790063BA" w14:textId="77777777" w:rsidR="004214ED" w:rsidRPr="00EE1F02" w:rsidRDefault="004214ED" w:rsidP="004214ED">
      <w:pPr>
        <w:pStyle w:val="NoSpacing"/>
        <w:rPr>
          <w:rFonts w:ascii="Arial" w:hAnsi="Arial" w:cs="Arial"/>
          <w:b/>
          <w:bCs/>
          <w:iCs/>
          <w:color w:val="005BBB"/>
          <w:sz w:val="8"/>
          <w:szCs w:val="8"/>
        </w:rPr>
      </w:pPr>
    </w:p>
    <w:p w14:paraId="1EFEC46B" w14:textId="77777777" w:rsidR="004214ED" w:rsidRDefault="004214ED" w:rsidP="004214ED">
      <w:pPr>
        <w:pStyle w:val="NoSpacing"/>
        <w:rPr>
          <w:rFonts w:ascii="Arial" w:hAnsi="Arial" w:cs="Arial"/>
          <w:sz w:val="22"/>
        </w:rPr>
      </w:pPr>
      <w:r w:rsidRPr="00EE1F02">
        <w:rPr>
          <w:rFonts w:ascii="Arial" w:hAnsi="Arial" w:cs="Arial"/>
          <w:sz w:val="22"/>
        </w:rPr>
        <w:t xml:space="preserve">PEEC issued </w:t>
      </w:r>
      <w:hyperlink r:id="rId52" w:history="1">
        <w:r w:rsidRPr="00EE1F02">
          <w:rPr>
            <w:rStyle w:val="Hyperlink"/>
            <w:rFonts w:ascii="Arial" w:hAnsi="Arial" w:cs="Arial"/>
            <w:sz w:val="22"/>
          </w:rPr>
          <w:t>a revised “Records Requests” interpretation</w:t>
        </w:r>
      </w:hyperlink>
      <w:r w:rsidRPr="00EE1F02">
        <w:rPr>
          <w:rFonts w:ascii="Arial" w:hAnsi="Arial" w:cs="Arial"/>
          <w:sz w:val="22"/>
        </w:rPr>
        <w:t xml:space="preserve"> (ET sec. 1.400.200) and the revisions will be effective July 31, 2021. The revisions clarify which records need to be provided, who needs to receive them and in what format. </w:t>
      </w:r>
    </w:p>
    <w:p w14:paraId="2EC1FB70" w14:textId="77777777" w:rsidR="004214ED" w:rsidRPr="00EE1F02" w:rsidRDefault="004214ED" w:rsidP="004214ED">
      <w:pPr>
        <w:pStyle w:val="NoSpacing"/>
        <w:rPr>
          <w:rFonts w:ascii="Arial" w:hAnsi="Arial" w:cs="Arial"/>
          <w:sz w:val="22"/>
        </w:rPr>
      </w:pPr>
    </w:p>
    <w:p w14:paraId="62D7C4DD" w14:textId="77777777" w:rsidR="004214ED" w:rsidRPr="00EE1F02" w:rsidRDefault="004214ED" w:rsidP="004214ED">
      <w:pPr>
        <w:pStyle w:val="NoSpacing"/>
        <w:rPr>
          <w:rFonts w:ascii="Arial" w:hAnsi="Arial" w:cs="Arial"/>
          <w:sz w:val="22"/>
        </w:rPr>
      </w:pPr>
      <w:r w:rsidRPr="00EE1F02">
        <w:rPr>
          <w:rFonts w:ascii="Arial" w:hAnsi="Arial" w:cs="Arial"/>
          <w:sz w:val="22"/>
        </w:rPr>
        <w:t xml:space="preserve">There’s also a new </w:t>
      </w:r>
      <w:hyperlink r:id="rId53" w:history="1">
        <w:r w:rsidRPr="00EE1F02">
          <w:rPr>
            <w:rStyle w:val="Hyperlink"/>
            <w:rFonts w:ascii="Arial" w:hAnsi="Arial" w:cs="Arial"/>
            <w:sz w:val="22"/>
          </w:rPr>
          <w:t>“Staff Augmentation Arrangements” interpretation</w:t>
        </w:r>
      </w:hyperlink>
      <w:r w:rsidRPr="00EE1F02">
        <w:rPr>
          <w:rFonts w:ascii="Arial" w:hAnsi="Arial" w:cs="Arial"/>
          <w:sz w:val="22"/>
        </w:rPr>
        <w:t xml:space="preserve"> (ET sec. 1.275.007) and associated revised interpretations, which will all be effective November 30, 2021. This guidance covers ethical considerations for loaning staff to an attest client. It’s an important topic in the current environment. </w:t>
      </w:r>
    </w:p>
    <w:p w14:paraId="0AA82F93" w14:textId="77777777" w:rsidR="004214ED" w:rsidRDefault="004214ED" w:rsidP="004214ED">
      <w:pPr>
        <w:rPr>
          <w:rFonts w:ascii="Arial" w:hAnsi="Arial" w:cs="Arial"/>
          <w:b/>
          <w:bCs/>
          <w:noProof/>
          <w:color w:val="FF0000"/>
          <w:sz w:val="28"/>
          <w:szCs w:val="28"/>
        </w:rPr>
      </w:pPr>
    </w:p>
    <w:p w14:paraId="4413CFF3" w14:textId="0D8F166E" w:rsidR="004108E5" w:rsidRDefault="004214ED" w:rsidP="004214E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BBB"/>
        <w:tblLook w:val="04A0" w:firstRow="1" w:lastRow="0" w:firstColumn="1" w:lastColumn="0" w:noHBand="0" w:noVBand="1"/>
      </w:tblPr>
      <w:tblGrid>
        <w:gridCol w:w="10790"/>
      </w:tblGrid>
      <w:tr w:rsidR="00764695" w14:paraId="5AAD42C4" w14:textId="77777777" w:rsidTr="00764695">
        <w:trPr>
          <w:trHeight w:val="576"/>
        </w:trPr>
        <w:tc>
          <w:tcPr>
            <w:tcW w:w="10790" w:type="dxa"/>
            <w:shd w:val="clear" w:color="auto" w:fill="005BBB"/>
            <w:vAlign w:val="center"/>
          </w:tcPr>
          <w:p w14:paraId="20BF019A" w14:textId="4FC7EE75" w:rsidR="00764695" w:rsidRPr="00190C61" w:rsidRDefault="00190C61" w:rsidP="00764695">
            <w:pPr>
              <w:pStyle w:val="NoSpacing"/>
              <w:rPr>
                <w:rFonts w:ascii="Arial" w:hAnsi="Arial" w:cs="Arial"/>
                <w:b/>
                <w:bCs/>
                <w:color w:val="FF0000"/>
                <w:sz w:val="32"/>
                <w:szCs w:val="32"/>
              </w:rPr>
            </w:pPr>
            <w:r>
              <w:rPr>
                <w:rFonts w:ascii="Arial" w:hAnsi="Arial" w:cs="Arial"/>
                <w:b/>
                <w:bCs/>
                <w:color w:val="FFFFFF" w:themeColor="background1"/>
                <w:sz w:val="32"/>
                <w:szCs w:val="32"/>
              </w:rPr>
              <w:lastRenderedPageBreak/>
              <w:t>Technology Leads the Way: Digital Assets</w:t>
            </w:r>
            <w:r w:rsidR="00841EF9">
              <w:rPr>
                <w:rFonts w:ascii="Arial" w:hAnsi="Arial" w:cs="Arial"/>
                <w:b/>
                <w:bCs/>
                <w:color w:val="FFFFFF" w:themeColor="background1"/>
                <w:sz w:val="32"/>
                <w:szCs w:val="32"/>
              </w:rPr>
              <w:t xml:space="preserve">, </w:t>
            </w:r>
            <w:r>
              <w:rPr>
                <w:rFonts w:ascii="Arial" w:hAnsi="Arial" w:cs="Arial"/>
                <w:b/>
                <w:bCs/>
                <w:color w:val="FFFFFF" w:themeColor="background1"/>
                <w:sz w:val="32"/>
                <w:szCs w:val="32"/>
              </w:rPr>
              <w:t>Blockchain</w:t>
            </w:r>
            <w:r w:rsidR="00841EF9">
              <w:rPr>
                <w:rFonts w:ascii="Arial" w:hAnsi="Arial" w:cs="Arial"/>
                <w:b/>
                <w:bCs/>
                <w:color w:val="FFFFFF" w:themeColor="background1"/>
                <w:sz w:val="32"/>
                <w:szCs w:val="32"/>
              </w:rPr>
              <w:t>, and SOC</w:t>
            </w:r>
          </w:p>
        </w:tc>
      </w:tr>
      <w:bookmarkEnd w:id="0"/>
    </w:tbl>
    <w:p w14:paraId="5C920779" w14:textId="6BB8183A" w:rsidR="00764695" w:rsidRPr="009D2B99" w:rsidRDefault="00764695" w:rsidP="00764695">
      <w:pPr>
        <w:pStyle w:val="NoSpacing"/>
        <w:rPr>
          <w:rFonts w:ascii="Arial" w:hAnsi="Arial" w:cs="Arial"/>
          <w:sz w:val="8"/>
          <w:szCs w:val="8"/>
        </w:rPr>
      </w:pPr>
    </w:p>
    <w:p w14:paraId="7AA30881" w14:textId="77777777" w:rsidR="00F13ACE" w:rsidRDefault="009D2B99" w:rsidP="009D2B99">
      <w:pPr>
        <w:pStyle w:val="NoSpacing"/>
        <w:rPr>
          <w:rFonts w:ascii="Arial" w:hAnsi="Arial" w:cs="Arial"/>
          <w:b/>
          <w:bCs/>
          <w:iCs/>
          <w:color w:val="005BBB"/>
          <w:sz w:val="22"/>
        </w:rPr>
      </w:pPr>
      <w:r>
        <w:rPr>
          <w:rFonts w:ascii="Arial" w:hAnsi="Arial" w:cs="Arial"/>
          <w:b/>
          <w:bCs/>
          <w:iCs/>
          <w:color w:val="005BBB"/>
          <w:sz w:val="22"/>
        </w:rPr>
        <w:t>Digital Assets – Are You Asking the Right Questions?</w:t>
      </w:r>
    </w:p>
    <w:p w14:paraId="65C04B7F" w14:textId="1D1D3F66" w:rsidR="009D2B99" w:rsidRDefault="009D2B99" w:rsidP="009D2B99">
      <w:pPr>
        <w:pStyle w:val="NoSpacing"/>
        <w:rPr>
          <w:rFonts w:ascii="Arial" w:hAnsi="Arial" w:cs="Arial"/>
          <w:b/>
          <w:bCs/>
          <w:iCs/>
          <w:color w:val="005BBB"/>
          <w:sz w:val="8"/>
          <w:szCs w:val="8"/>
        </w:rPr>
      </w:pPr>
    </w:p>
    <w:p w14:paraId="3170C371" w14:textId="0708D86E" w:rsidR="009D2B99" w:rsidRDefault="009D2B99" w:rsidP="009D2B99">
      <w:pPr>
        <w:pStyle w:val="NoSpacing"/>
        <w:rPr>
          <w:rFonts w:ascii="Arial" w:hAnsi="Arial" w:cs="Arial"/>
          <w:sz w:val="22"/>
        </w:rPr>
      </w:pPr>
      <w:r w:rsidRPr="009D2B99">
        <w:rPr>
          <w:rFonts w:ascii="Arial" w:hAnsi="Arial" w:cs="Arial"/>
          <w:sz w:val="22"/>
        </w:rPr>
        <w:t>As more and more entities get involved in the digital assets space, this is an area of increased audit risk.  Knowing the right questions to ask and being prepared with the resources necessary to make an assessment is of vital importance. Auditors must be aware of the many unique considerations and auditing challenges brought about with this new asset class.</w:t>
      </w:r>
    </w:p>
    <w:p w14:paraId="2E885A70" w14:textId="77777777" w:rsidR="009D2B99" w:rsidRPr="009D2B99" w:rsidRDefault="009D2B99" w:rsidP="009D2B99">
      <w:pPr>
        <w:pStyle w:val="NoSpacing"/>
        <w:rPr>
          <w:rFonts w:ascii="Arial" w:hAnsi="Arial" w:cs="Arial"/>
          <w:sz w:val="22"/>
        </w:rPr>
      </w:pPr>
    </w:p>
    <w:p w14:paraId="37B03838" w14:textId="5B4FCF1E" w:rsidR="009D2B99" w:rsidRDefault="009D2B99" w:rsidP="009D2B99">
      <w:pPr>
        <w:pStyle w:val="NoSpacing"/>
        <w:rPr>
          <w:rFonts w:ascii="Arial" w:hAnsi="Arial" w:cs="Arial"/>
          <w:sz w:val="22"/>
        </w:rPr>
      </w:pPr>
      <w:r w:rsidRPr="009D2B99">
        <w:rPr>
          <w:rFonts w:ascii="Arial" w:hAnsi="Arial" w:cs="Arial"/>
          <w:sz w:val="22"/>
        </w:rPr>
        <w:t xml:space="preserve">In order to address financial reporting and auditing challenges, the AICPA’s Digital Assets Working Group continues to develop nonauthoritative accounting and auditing guidance to help financial statement preparers and auditors who are operating in the digital asset space. The </w:t>
      </w:r>
      <w:hyperlink r:id="rId54" w:history="1">
        <w:r w:rsidRPr="009D2B99">
          <w:rPr>
            <w:rStyle w:val="Hyperlink"/>
            <w:rFonts w:ascii="Arial" w:hAnsi="Arial" w:cs="Arial"/>
            <w:sz w:val="22"/>
          </w:rPr>
          <w:t>Digital Assets Practice Aid</w:t>
        </w:r>
      </w:hyperlink>
      <w:r w:rsidRPr="009D2B99">
        <w:rPr>
          <w:rFonts w:ascii="Arial" w:hAnsi="Arial" w:cs="Arial"/>
          <w:sz w:val="22"/>
        </w:rPr>
        <w:t>, includes the following topics:</w:t>
      </w:r>
    </w:p>
    <w:p w14:paraId="1FC9A61D" w14:textId="77777777" w:rsidR="00F64DBD" w:rsidRPr="009D2B99" w:rsidRDefault="00F64DBD" w:rsidP="009D2B99">
      <w:pPr>
        <w:pStyle w:val="NoSpacing"/>
        <w:rPr>
          <w:rFonts w:ascii="Arial" w:hAnsi="Arial" w:cs="Arial"/>
          <w:sz w:val="8"/>
          <w:szCs w:val="8"/>
        </w:rPr>
      </w:pPr>
    </w:p>
    <w:tbl>
      <w:tblPr>
        <w:tblStyle w:val="TableGrid"/>
        <w:tblW w:w="10795" w:type="dxa"/>
        <w:tblLook w:val="04A0" w:firstRow="1" w:lastRow="0" w:firstColumn="1" w:lastColumn="0" w:noHBand="0" w:noVBand="1"/>
      </w:tblPr>
      <w:tblGrid>
        <w:gridCol w:w="5405"/>
        <w:gridCol w:w="5390"/>
      </w:tblGrid>
      <w:tr w:rsidR="009D2B99" w14:paraId="5688AC28" w14:textId="77777777" w:rsidTr="008E0DEC">
        <w:tc>
          <w:tcPr>
            <w:tcW w:w="5573" w:type="dxa"/>
          </w:tcPr>
          <w:p w14:paraId="2F47E08E" w14:textId="4B7055FC" w:rsidR="009D2B99" w:rsidRPr="009D2B99" w:rsidRDefault="009D2B99" w:rsidP="009D2B99">
            <w:pPr>
              <w:pStyle w:val="NoSpacing"/>
              <w:jc w:val="center"/>
              <w:rPr>
                <w:rFonts w:ascii="Arial" w:hAnsi="Arial" w:cs="Arial"/>
                <w:b/>
                <w:bCs/>
                <w:sz w:val="22"/>
              </w:rPr>
            </w:pPr>
            <w:r w:rsidRPr="009D2B99">
              <w:rPr>
                <w:rFonts w:ascii="Arial" w:hAnsi="Arial" w:cs="Arial"/>
                <w:b/>
                <w:bCs/>
                <w:sz w:val="22"/>
              </w:rPr>
              <w:t>Accounting</w:t>
            </w:r>
          </w:p>
        </w:tc>
        <w:tc>
          <w:tcPr>
            <w:tcW w:w="5573" w:type="dxa"/>
          </w:tcPr>
          <w:p w14:paraId="737E7CDA" w14:textId="6D9805BB" w:rsidR="009D2B99" w:rsidRPr="009D2B99" w:rsidRDefault="009D2B99" w:rsidP="009D2B99">
            <w:pPr>
              <w:pStyle w:val="NoSpacing"/>
              <w:jc w:val="center"/>
              <w:rPr>
                <w:rFonts w:ascii="Arial" w:hAnsi="Arial" w:cs="Arial"/>
                <w:b/>
                <w:bCs/>
                <w:sz w:val="22"/>
              </w:rPr>
            </w:pPr>
            <w:r w:rsidRPr="009D2B99">
              <w:rPr>
                <w:rFonts w:ascii="Arial" w:hAnsi="Arial" w:cs="Arial"/>
                <w:b/>
                <w:bCs/>
                <w:sz w:val="22"/>
              </w:rPr>
              <w:t>Auditing</w:t>
            </w:r>
          </w:p>
        </w:tc>
      </w:tr>
      <w:tr w:rsidR="009D2B99" w14:paraId="46C1EC11" w14:textId="77777777" w:rsidTr="008E0DEC">
        <w:tc>
          <w:tcPr>
            <w:tcW w:w="5573" w:type="dxa"/>
          </w:tcPr>
          <w:p w14:paraId="0C938CF7" w14:textId="77777777" w:rsidR="009D2B99" w:rsidRDefault="009D2B99" w:rsidP="009D2B99">
            <w:pPr>
              <w:pStyle w:val="NoSpacing"/>
              <w:numPr>
                <w:ilvl w:val="0"/>
                <w:numId w:val="36"/>
              </w:numPr>
              <w:rPr>
                <w:rFonts w:ascii="Arial" w:hAnsi="Arial" w:cs="Arial"/>
                <w:sz w:val="22"/>
              </w:rPr>
            </w:pPr>
            <w:r>
              <w:rPr>
                <w:rFonts w:ascii="Arial" w:hAnsi="Arial" w:cs="Arial"/>
                <w:sz w:val="22"/>
              </w:rPr>
              <w:t>Classification, measurement, recognition, and derecognition when an entity purchases or sells digital assets</w:t>
            </w:r>
          </w:p>
          <w:p w14:paraId="36C1D76C" w14:textId="77777777" w:rsidR="009D2B99" w:rsidRDefault="009D2B99" w:rsidP="009D2B99">
            <w:pPr>
              <w:pStyle w:val="NoSpacing"/>
              <w:numPr>
                <w:ilvl w:val="0"/>
                <w:numId w:val="36"/>
              </w:numPr>
              <w:rPr>
                <w:rFonts w:ascii="Arial" w:hAnsi="Arial" w:cs="Arial"/>
                <w:sz w:val="22"/>
              </w:rPr>
            </w:pPr>
            <w:r>
              <w:rPr>
                <w:rFonts w:ascii="Arial" w:hAnsi="Arial" w:cs="Arial"/>
                <w:sz w:val="22"/>
              </w:rPr>
              <w:t>Specialized accounting for investment companies and broker-dealers when engaging in digital asset activities</w:t>
            </w:r>
          </w:p>
          <w:p w14:paraId="620D3DEC" w14:textId="77777777" w:rsidR="009D2B99" w:rsidRDefault="009D2B99" w:rsidP="009D2B99">
            <w:pPr>
              <w:pStyle w:val="NoSpacing"/>
              <w:numPr>
                <w:ilvl w:val="0"/>
                <w:numId w:val="36"/>
              </w:numPr>
              <w:rPr>
                <w:rFonts w:ascii="Arial" w:hAnsi="Arial" w:cs="Arial"/>
                <w:sz w:val="22"/>
              </w:rPr>
            </w:pPr>
            <w:r>
              <w:rPr>
                <w:rFonts w:ascii="Arial" w:hAnsi="Arial" w:cs="Arial"/>
                <w:sz w:val="22"/>
              </w:rPr>
              <w:t>Considerations for crypto assets that require fair value measurement</w:t>
            </w:r>
          </w:p>
          <w:p w14:paraId="7769F668" w14:textId="77777777" w:rsidR="009D2B99" w:rsidRPr="009D2B99" w:rsidRDefault="009D2B99" w:rsidP="009D2B99">
            <w:pPr>
              <w:pStyle w:val="NoSpacing"/>
              <w:numPr>
                <w:ilvl w:val="0"/>
                <w:numId w:val="36"/>
              </w:numPr>
              <w:rPr>
                <w:rFonts w:ascii="Arial" w:hAnsi="Arial" w:cs="Arial"/>
                <w:sz w:val="22"/>
              </w:rPr>
            </w:pPr>
            <w:r>
              <w:rPr>
                <w:rFonts w:ascii="Arial" w:hAnsi="Arial" w:cs="Arial"/>
                <w:sz w:val="22"/>
              </w:rPr>
              <w:t>Accounting for stablecoin holdings</w:t>
            </w:r>
          </w:p>
          <w:p w14:paraId="54416933" w14:textId="3A44AB3C" w:rsidR="009D2B99" w:rsidRPr="009D2B99" w:rsidRDefault="009D2B99" w:rsidP="009D2B99">
            <w:pPr>
              <w:pStyle w:val="NoSpacing"/>
              <w:rPr>
                <w:rFonts w:ascii="Arial" w:hAnsi="Arial" w:cs="Arial"/>
                <w:sz w:val="8"/>
                <w:szCs w:val="8"/>
              </w:rPr>
            </w:pPr>
          </w:p>
        </w:tc>
        <w:tc>
          <w:tcPr>
            <w:tcW w:w="5573" w:type="dxa"/>
          </w:tcPr>
          <w:p w14:paraId="5FB620A0" w14:textId="77777777" w:rsidR="009D2B99" w:rsidRDefault="009D2B99" w:rsidP="009D2B99">
            <w:pPr>
              <w:pStyle w:val="NoSpacing"/>
              <w:numPr>
                <w:ilvl w:val="0"/>
                <w:numId w:val="36"/>
              </w:numPr>
              <w:rPr>
                <w:rFonts w:ascii="Arial" w:hAnsi="Arial" w:cs="Arial"/>
                <w:sz w:val="22"/>
              </w:rPr>
            </w:pPr>
            <w:r>
              <w:rPr>
                <w:rFonts w:ascii="Arial" w:hAnsi="Arial" w:cs="Arial"/>
                <w:sz w:val="22"/>
              </w:rPr>
              <w:t>Client acceptance and continuance</w:t>
            </w:r>
          </w:p>
          <w:p w14:paraId="5CCA6BFE" w14:textId="77777777" w:rsidR="009D2B99" w:rsidRPr="004057E6" w:rsidRDefault="009D2B99" w:rsidP="009D2B99">
            <w:pPr>
              <w:pStyle w:val="NoSpacing"/>
              <w:numPr>
                <w:ilvl w:val="0"/>
                <w:numId w:val="36"/>
              </w:numPr>
              <w:rPr>
                <w:rFonts w:ascii="Arial" w:hAnsi="Arial" w:cs="Arial"/>
                <w:sz w:val="22"/>
              </w:rPr>
            </w:pPr>
            <w:r w:rsidRPr="004057E6">
              <w:rPr>
                <w:rFonts w:ascii="Arial" w:hAnsi="Arial" w:cs="Arial"/>
                <w:sz w:val="22"/>
              </w:rPr>
              <w:t xml:space="preserve">Risk assessment and processes and controls </w:t>
            </w:r>
          </w:p>
          <w:p w14:paraId="6C6DAE3B" w14:textId="05CC3E86" w:rsidR="009D2B99" w:rsidRDefault="009D2B99" w:rsidP="009D2B99">
            <w:pPr>
              <w:pStyle w:val="NoSpacing"/>
              <w:numPr>
                <w:ilvl w:val="0"/>
                <w:numId w:val="36"/>
              </w:numPr>
              <w:rPr>
                <w:rFonts w:ascii="Arial" w:hAnsi="Arial" w:cs="Arial"/>
                <w:sz w:val="22"/>
              </w:rPr>
            </w:pPr>
            <w:r w:rsidRPr="004057E6">
              <w:rPr>
                <w:rFonts w:ascii="Arial" w:hAnsi="Arial" w:cs="Arial"/>
                <w:sz w:val="22"/>
              </w:rPr>
              <w:t>Laws and regulations and related parties</w:t>
            </w:r>
          </w:p>
        </w:tc>
      </w:tr>
    </w:tbl>
    <w:p w14:paraId="76685D4C" w14:textId="77777777" w:rsidR="009D2B99" w:rsidRDefault="009D2B99" w:rsidP="009D2B99">
      <w:pPr>
        <w:pStyle w:val="NoSpacing"/>
        <w:rPr>
          <w:rFonts w:ascii="Arial" w:hAnsi="Arial" w:cs="Arial"/>
          <w:sz w:val="22"/>
        </w:rPr>
      </w:pPr>
    </w:p>
    <w:p w14:paraId="1D75A8B1" w14:textId="254169C8" w:rsidR="009D2B99" w:rsidRDefault="009D2B99" w:rsidP="009D2B99">
      <w:pPr>
        <w:pStyle w:val="NoSpacing"/>
        <w:rPr>
          <w:rFonts w:ascii="Arial" w:hAnsi="Arial" w:cs="Arial"/>
          <w:color w:val="111111"/>
          <w:sz w:val="22"/>
        </w:rPr>
      </w:pPr>
      <w:r w:rsidRPr="009D2B99">
        <w:rPr>
          <w:rFonts w:ascii="Arial" w:hAnsi="Arial" w:cs="Arial"/>
          <w:sz w:val="22"/>
        </w:rPr>
        <w:t xml:space="preserve">The Practice Aid was originally issued in </w:t>
      </w:r>
      <w:hyperlink r:id="rId55" w:history="1">
        <w:r w:rsidRPr="009D2B99">
          <w:rPr>
            <w:rStyle w:val="Hyperlink"/>
            <w:rFonts w:ascii="Arial" w:hAnsi="Arial" w:cs="Arial"/>
            <w:sz w:val="22"/>
          </w:rPr>
          <w:t>2019</w:t>
        </w:r>
      </w:hyperlink>
      <w:r w:rsidRPr="009D2B99">
        <w:rPr>
          <w:rStyle w:val="Hyperlink"/>
          <w:rFonts w:ascii="Arial" w:hAnsi="Arial" w:cs="Arial"/>
          <w:color w:val="auto"/>
          <w:sz w:val="22"/>
          <w:u w:val="none"/>
        </w:rPr>
        <w:t xml:space="preserve"> and is updated periodically with new topics and content</w:t>
      </w:r>
      <w:r w:rsidRPr="009D2B99">
        <w:rPr>
          <w:rFonts w:ascii="Arial" w:hAnsi="Arial" w:cs="Arial"/>
          <w:sz w:val="22"/>
        </w:rPr>
        <w:t xml:space="preserve">, to provide nonauthoritative guidance on how to account for and audit digital assets under U.S. generally accepted accounting principles for nongovernmental entities and generally accepted auditing standards, respectively. It </w:t>
      </w:r>
      <w:r w:rsidRPr="009D2B99">
        <w:rPr>
          <w:rFonts w:ascii="Arial" w:hAnsi="Arial" w:cs="Arial"/>
          <w:color w:val="111111"/>
          <w:sz w:val="22"/>
        </w:rPr>
        <w:t>is intended for those with a fundamental knowledge of blockchain technology and is based on existing professional literature and the experience of members of the Digital Assets Working</w:t>
      </w:r>
      <w:r w:rsidR="00F13ACE">
        <w:rPr>
          <w:rFonts w:ascii="Arial" w:hAnsi="Arial" w:cs="Arial"/>
          <w:color w:val="111111"/>
          <w:sz w:val="22"/>
        </w:rPr>
        <w:t xml:space="preserve"> </w:t>
      </w:r>
      <w:r w:rsidRPr="009D2B99">
        <w:rPr>
          <w:rFonts w:ascii="Arial" w:hAnsi="Arial" w:cs="Arial"/>
          <w:color w:val="111111"/>
          <w:sz w:val="22"/>
        </w:rPr>
        <w:t xml:space="preserve">Group. </w:t>
      </w:r>
    </w:p>
    <w:p w14:paraId="07C1D238" w14:textId="77777777" w:rsidR="009D2B99" w:rsidRPr="009D2B99" w:rsidRDefault="009D2B99" w:rsidP="009D2B99">
      <w:pPr>
        <w:pStyle w:val="NoSpacing"/>
        <w:rPr>
          <w:rFonts w:ascii="Arial" w:hAnsi="Arial" w:cs="Arial"/>
          <w:sz w:val="22"/>
        </w:rPr>
      </w:pPr>
    </w:p>
    <w:p w14:paraId="370A1AF8" w14:textId="77777777" w:rsidR="00F13ACE" w:rsidRPr="002A5661" w:rsidRDefault="00F13ACE" w:rsidP="00F13ACE">
      <w:pPr>
        <w:widowControl/>
        <w:autoSpaceDE/>
        <w:autoSpaceDN/>
        <w:adjustRightInd/>
        <w:spacing w:after="0"/>
        <w:rPr>
          <w:rFonts w:ascii="Arial" w:hAnsi="Arial" w:cs="Arial"/>
          <w:b/>
          <w:bCs/>
          <w:iCs/>
          <w:color w:val="005BBB"/>
          <w:sz w:val="8"/>
          <w:szCs w:val="8"/>
        </w:rPr>
      </w:pPr>
      <w:r w:rsidRPr="002A5661">
        <w:rPr>
          <w:rFonts w:ascii="Arial" w:hAnsi="Arial" w:cs="Arial"/>
          <w:b/>
          <w:bCs/>
          <w:iCs/>
          <w:color w:val="005BBB"/>
        </w:rPr>
        <w:t xml:space="preserve">Have Blockchain Risks </w:t>
      </w:r>
      <w:r>
        <w:rPr>
          <w:rFonts w:ascii="Arial" w:hAnsi="Arial" w:cs="Arial"/>
          <w:b/>
          <w:bCs/>
          <w:iCs/>
          <w:color w:val="005BBB"/>
        </w:rPr>
        <w:t>B</w:t>
      </w:r>
      <w:r w:rsidRPr="002A5661">
        <w:rPr>
          <w:rFonts w:ascii="Arial" w:hAnsi="Arial" w:cs="Arial"/>
          <w:b/>
          <w:bCs/>
          <w:iCs/>
          <w:color w:val="005BBB"/>
        </w:rPr>
        <w:t>een Considered in the Engagement?</w:t>
      </w:r>
    </w:p>
    <w:p w14:paraId="19B96D3E" w14:textId="77777777" w:rsidR="00F13ACE" w:rsidRPr="002A5661" w:rsidRDefault="00F13ACE" w:rsidP="00F13ACE">
      <w:pPr>
        <w:widowControl/>
        <w:autoSpaceDE/>
        <w:autoSpaceDN/>
        <w:adjustRightInd/>
        <w:spacing w:after="0"/>
        <w:rPr>
          <w:rFonts w:ascii="Arial" w:hAnsi="Arial" w:cs="Arial"/>
          <w:b/>
          <w:bCs/>
          <w:iCs/>
          <w:color w:val="005BBB"/>
          <w:sz w:val="8"/>
          <w:szCs w:val="8"/>
        </w:rPr>
      </w:pPr>
    </w:p>
    <w:p w14:paraId="79A0B27F" w14:textId="7EB3CA03" w:rsidR="00F13ACE" w:rsidRPr="002A5661" w:rsidRDefault="00F13ACE" w:rsidP="00F13ACE">
      <w:pPr>
        <w:widowControl/>
        <w:autoSpaceDE/>
        <w:autoSpaceDN/>
        <w:adjustRightInd/>
        <w:spacing w:after="0"/>
        <w:rPr>
          <w:rFonts w:ascii="Arial" w:hAnsi="Arial" w:cs="Arial"/>
        </w:rPr>
      </w:pPr>
      <w:r w:rsidRPr="002A5661">
        <w:rPr>
          <w:rFonts w:ascii="Arial" w:hAnsi="Arial" w:cs="Arial"/>
        </w:rPr>
        <w:t xml:space="preserve">Many entities are turning towards blockchain technology as a solution for their business, operational, regulatory or strategic initiatives. For example, entities may incorporate blockchain technology into their financial systems, or they may use a service organization that has integrated blockchain technology to provide services to the entity (such as, supply chain management, payroll processing, or employee benefit plan recordkeeping). However blockchain technology is being utilized, it is important for the auditor to understand and identify the unique risks as well as those controls that may be in place to mitigate those risks. It is important for the auditor to take these risks into account when gaining an understanding of the system and the assessment of the risk of material misstatement.  </w:t>
      </w:r>
    </w:p>
    <w:p w14:paraId="24EC9D36" w14:textId="77777777" w:rsidR="00F13ACE" w:rsidRPr="002A5661" w:rsidRDefault="00F13ACE" w:rsidP="00F13ACE">
      <w:pPr>
        <w:widowControl/>
        <w:autoSpaceDE/>
        <w:autoSpaceDN/>
        <w:adjustRightInd/>
        <w:spacing w:after="0"/>
        <w:rPr>
          <w:rFonts w:ascii="Arial" w:hAnsi="Arial" w:cs="Arial"/>
        </w:rPr>
      </w:pPr>
    </w:p>
    <w:p w14:paraId="2457E9D3" w14:textId="77777777" w:rsidR="00F13ACE" w:rsidRPr="002A5661" w:rsidRDefault="00F13ACE" w:rsidP="00F13ACE">
      <w:pPr>
        <w:widowControl/>
        <w:autoSpaceDE/>
        <w:autoSpaceDN/>
        <w:adjustRightInd/>
        <w:spacing w:after="0"/>
        <w:rPr>
          <w:rFonts w:ascii="Arial" w:eastAsia="Calibri" w:hAnsi="Arial" w:cs="Arial"/>
        </w:rPr>
      </w:pPr>
      <w:bookmarkStart w:id="2" w:name="_Hlk44419101"/>
      <w:r w:rsidRPr="002A5661">
        <w:rPr>
          <w:rFonts w:ascii="Arial" w:hAnsi="Arial" w:cs="Arial"/>
        </w:rPr>
        <w:t>The Information Systems Audit and Control Association (ISACA) and AICPA &amp; CIMA</w:t>
      </w:r>
      <w:r w:rsidRPr="002A5661">
        <w:rPr>
          <w:rFonts w:ascii="Arial" w:eastAsia="Calibri" w:hAnsi="Arial" w:cs="Arial"/>
        </w:rPr>
        <w:t xml:space="preserve"> formed a joint working group, the </w:t>
      </w:r>
      <w:r w:rsidRPr="002A5661">
        <w:rPr>
          <w:rFonts w:ascii="Arial" w:eastAsia="Calibri" w:hAnsi="Arial" w:cs="Arial"/>
          <w:i/>
          <w:iCs/>
        </w:rPr>
        <w:t>ISACA-AICPA &amp; CIMA Joint Blockchain Working Group</w:t>
      </w:r>
      <w:bookmarkEnd w:id="2"/>
      <w:r w:rsidRPr="002A5661">
        <w:rPr>
          <w:rFonts w:ascii="Arial" w:eastAsia="Calibri" w:hAnsi="Arial" w:cs="Arial"/>
        </w:rPr>
        <w:t xml:space="preserve"> to identify risks associated with enabling blockchain technology. The working group created a </w:t>
      </w:r>
      <w:hyperlink r:id="rId56" w:history="1">
        <w:r w:rsidRPr="002A5661">
          <w:rPr>
            <w:rFonts w:ascii="Arial" w:hAnsi="Arial" w:cs="Arial"/>
            <w:color w:val="0046AD"/>
            <w:u w:val="single"/>
          </w:rPr>
          <w:t>risk by domain table</w:t>
        </w:r>
      </w:hyperlink>
      <w:r>
        <w:rPr>
          <w:rFonts w:ascii="Arial" w:hAnsi="Arial" w:cs="Arial"/>
          <w:color w:val="0046AD"/>
          <w:u w:val="single"/>
        </w:rPr>
        <w:t>,</w:t>
      </w:r>
      <w:r w:rsidRPr="002A5661">
        <w:rPr>
          <w:rFonts w:ascii="Arial" w:hAnsi="Arial" w:cs="Arial"/>
        </w:rPr>
        <w:t xml:space="preserve"> which is intended for those professionals with an advanced understanding of blockchain technology. </w:t>
      </w:r>
      <w:r w:rsidRPr="002A5661">
        <w:rPr>
          <w:rFonts w:ascii="Arial" w:eastAsia="Calibri" w:hAnsi="Arial" w:cs="Arial"/>
        </w:rPr>
        <w:t>This tool can be used by CPAs to assist an entity with identifying the relevant risks in each engagement.</w:t>
      </w:r>
    </w:p>
    <w:p w14:paraId="5BB208E2" w14:textId="77777777" w:rsidR="00F13ACE" w:rsidRPr="002A5661" w:rsidRDefault="00F13ACE" w:rsidP="00F13ACE">
      <w:pPr>
        <w:widowControl/>
        <w:autoSpaceDE/>
        <w:autoSpaceDN/>
        <w:adjustRightInd/>
        <w:spacing w:after="0"/>
        <w:rPr>
          <w:rFonts w:ascii="Arial" w:hAnsi="Arial" w:cs="Arial"/>
        </w:rPr>
      </w:pPr>
    </w:p>
    <w:p w14:paraId="4248FC0B" w14:textId="77777777" w:rsidR="00F13ACE" w:rsidRDefault="00F13ACE" w:rsidP="00F13ACE">
      <w:pPr>
        <w:pStyle w:val="NoSpacing"/>
        <w:rPr>
          <w:rFonts w:ascii="Arial" w:hAnsi="Arial" w:cs="Arial"/>
          <w:sz w:val="22"/>
        </w:rPr>
      </w:pPr>
      <w:r w:rsidRPr="00F13ACE">
        <w:rPr>
          <w:rFonts w:ascii="Arial" w:hAnsi="Arial" w:cs="Arial"/>
          <w:sz w:val="22"/>
        </w:rPr>
        <w:t xml:space="preserve">The trend is clear: more and more entities will transform significant portions of their business, revenue model, or operations using blockchain technology and auditors will need to be aware of the unique risks. It is imperative that the assessment of the risk of using blockchain technology be considered throughout the engagement. If a blockchain has already been incorporated within an entity, it will be important to perform a retrospective review to identify risks related to the five domains, as applicable, in order to identify control </w:t>
      </w:r>
    </w:p>
    <w:p w14:paraId="580BC002" w14:textId="5A89794E" w:rsidR="00F13ACE" w:rsidRDefault="00F13ACE" w:rsidP="00F13ACE">
      <w:pPr>
        <w:pStyle w:val="NoSpacing"/>
        <w:rPr>
          <w:rFonts w:ascii="Arial" w:hAnsi="Arial" w:cs="Arial"/>
          <w:sz w:val="22"/>
        </w:rPr>
      </w:pPr>
      <w:r w:rsidRPr="00F13ACE">
        <w:rPr>
          <w:rFonts w:ascii="Arial" w:hAnsi="Arial" w:cs="Arial"/>
          <w:sz w:val="22"/>
        </w:rPr>
        <w:t>gaps that may threaten the achievement of the entity’s objectives.</w:t>
      </w:r>
    </w:p>
    <w:p w14:paraId="66FF7B80" w14:textId="7231D95B" w:rsidR="00F64DBD" w:rsidRDefault="00F64DBD" w:rsidP="00F13ACE">
      <w:pPr>
        <w:pStyle w:val="NoSpacing"/>
        <w:rPr>
          <w:rFonts w:ascii="Arial" w:hAnsi="Arial" w:cs="Arial"/>
          <w:sz w:val="22"/>
        </w:rPr>
      </w:pPr>
    </w:p>
    <w:p w14:paraId="7D6C5B8F" w14:textId="4101858B" w:rsidR="00F64DBD" w:rsidRDefault="00F64DBD" w:rsidP="00F13ACE">
      <w:pPr>
        <w:pStyle w:val="NoSpacing"/>
        <w:rPr>
          <w:rFonts w:ascii="Arial" w:hAnsi="Arial" w:cs="Arial"/>
          <w:sz w:val="22"/>
        </w:rPr>
      </w:pPr>
    </w:p>
    <w:p w14:paraId="31AA674A" w14:textId="605A23AE" w:rsidR="009D2B99" w:rsidRPr="00764695" w:rsidRDefault="009D2B99" w:rsidP="009D2B99">
      <w:pPr>
        <w:pStyle w:val="NoSpacing"/>
        <w:rPr>
          <w:rFonts w:ascii="Arial" w:hAnsi="Arial" w:cs="Arial"/>
          <w:b/>
          <w:bCs/>
          <w:iCs/>
          <w:color w:val="005BBB"/>
          <w:sz w:val="22"/>
        </w:rPr>
      </w:pPr>
      <w:r w:rsidRPr="00764695">
        <w:rPr>
          <w:rFonts w:ascii="Arial" w:hAnsi="Arial" w:cs="Arial"/>
          <w:b/>
          <w:bCs/>
          <w:iCs/>
          <w:color w:val="005BBB"/>
          <w:sz w:val="22"/>
        </w:rPr>
        <w:lastRenderedPageBreak/>
        <w:t xml:space="preserve">Implications of the </w:t>
      </w:r>
      <w:r>
        <w:rPr>
          <w:rFonts w:ascii="Arial" w:hAnsi="Arial" w:cs="Arial"/>
          <w:b/>
          <w:bCs/>
          <w:iCs/>
          <w:color w:val="005BBB"/>
          <w:sz w:val="22"/>
        </w:rPr>
        <w:t>U</w:t>
      </w:r>
      <w:r w:rsidRPr="00764695">
        <w:rPr>
          <w:rFonts w:ascii="Arial" w:hAnsi="Arial" w:cs="Arial"/>
          <w:b/>
          <w:bCs/>
          <w:iCs/>
          <w:color w:val="005BBB"/>
          <w:sz w:val="22"/>
        </w:rPr>
        <w:t xml:space="preserve">se of </w:t>
      </w:r>
      <w:r>
        <w:rPr>
          <w:rFonts w:ascii="Arial" w:hAnsi="Arial" w:cs="Arial"/>
          <w:b/>
          <w:bCs/>
          <w:iCs/>
          <w:color w:val="005BBB"/>
          <w:sz w:val="22"/>
        </w:rPr>
        <w:t>B</w:t>
      </w:r>
      <w:r w:rsidRPr="00764695">
        <w:rPr>
          <w:rFonts w:ascii="Arial" w:hAnsi="Arial" w:cs="Arial"/>
          <w:b/>
          <w:bCs/>
          <w:iCs/>
          <w:color w:val="005BBB"/>
          <w:sz w:val="22"/>
        </w:rPr>
        <w:t xml:space="preserve">lockchain in SOC for </w:t>
      </w:r>
      <w:r>
        <w:rPr>
          <w:rFonts w:ascii="Arial" w:hAnsi="Arial" w:cs="Arial"/>
          <w:b/>
          <w:bCs/>
          <w:iCs/>
          <w:color w:val="005BBB"/>
          <w:sz w:val="22"/>
        </w:rPr>
        <w:t>S</w:t>
      </w:r>
      <w:r w:rsidRPr="00764695">
        <w:rPr>
          <w:rFonts w:ascii="Arial" w:hAnsi="Arial" w:cs="Arial"/>
          <w:b/>
          <w:bCs/>
          <w:iCs/>
          <w:color w:val="005BBB"/>
          <w:sz w:val="22"/>
        </w:rPr>
        <w:t xml:space="preserve">ervice </w:t>
      </w:r>
      <w:r>
        <w:rPr>
          <w:rFonts w:ascii="Arial" w:hAnsi="Arial" w:cs="Arial"/>
          <w:b/>
          <w:bCs/>
          <w:iCs/>
          <w:color w:val="005BBB"/>
          <w:sz w:val="22"/>
        </w:rPr>
        <w:t>O</w:t>
      </w:r>
      <w:r w:rsidRPr="00764695">
        <w:rPr>
          <w:rFonts w:ascii="Arial" w:hAnsi="Arial" w:cs="Arial"/>
          <w:b/>
          <w:bCs/>
          <w:iCs/>
          <w:color w:val="005BBB"/>
          <w:sz w:val="22"/>
        </w:rPr>
        <w:t xml:space="preserve">rganization </w:t>
      </w:r>
      <w:r>
        <w:rPr>
          <w:rFonts w:ascii="Arial" w:hAnsi="Arial" w:cs="Arial"/>
          <w:b/>
          <w:bCs/>
          <w:iCs/>
          <w:color w:val="005BBB"/>
          <w:sz w:val="22"/>
        </w:rPr>
        <w:t>E</w:t>
      </w:r>
      <w:r w:rsidRPr="00764695">
        <w:rPr>
          <w:rFonts w:ascii="Arial" w:hAnsi="Arial" w:cs="Arial"/>
          <w:b/>
          <w:bCs/>
          <w:iCs/>
          <w:color w:val="005BBB"/>
          <w:sz w:val="22"/>
        </w:rPr>
        <w:t>xaminations</w:t>
      </w:r>
    </w:p>
    <w:p w14:paraId="71495D84" w14:textId="77777777" w:rsidR="009D2B99" w:rsidRPr="00764695" w:rsidRDefault="009D2B99" w:rsidP="009D2B99">
      <w:pPr>
        <w:pStyle w:val="NoSpacing"/>
        <w:rPr>
          <w:rFonts w:ascii="Arial" w:hAnsi="Arial" w:cs="Arial"/>
          <w:sz w:val="8"/>
          <w:szCs w:val="8"/>
        </w:rPr>
      </w:pPr>
    </w:p>
    <w:p w14:paraId="269596C7" w14:textId="77777777" w:rsidR="009D2B99" w:rsidRPr="00764695" w:rsidRDefault="009D2B99" w:rsidP="009D2B99">
      <w:pPr>
        <w:pStyle w:val="NoSpacing"/>
        <w:rPr>
          <w:rFonts w:ascii="Arial" w:hAnsi="Arial" w:cs="Arial"/>
          <w:sz w:val="22"/>
        </w:rPr>
      </w:pPr>
      <w:r w:rsidRPr="00764695">
        <w:rPr>
          <w:rFonts w:ascii="Arial" w:hAnsi="Arial" w:cs="Arial"/>
          <w:sz w:val="22"/>
        </w:rPr>
        <w:t>The AICPA’s Assurance Services Executive Committee’s Implications of Blockchain on SOC 1 and SOC 2 working group has published the paper, “</w:t>
      </w:r>
      <w:hyperlink r:id="rId57" w:history="1">
        <w:r w:rsidRPr="00764695">
          <w:rPr>
            <w:rStyle w:val="Hyperlink"/>
            <w:rFonts w:ascii="Arial" w:hAnsi="Arial" w:cs="Arial"/>
            <w:i/>
            <w:iCs/>
            <w:sz w:val="22"/>
          </w:rPr>
          <w:t>Implications of the Use of Blockchain in SOC for Service Organization Examinations</w:t>
        </w:r>
      </w:hyperlink>
      <w:r w:rsidRPr="00764695">
        <w:rPr>
          <w:rFonts w:ascii="Arial" w:hAnsi="Arial" w:cs="Arial"/>
          <w:i/>
          <w:iCs/>
          <w:sz w:val="22"/>
        </w:rPr>
        <w:t>.</w:t>
      </w:r>
      <w:r w:rsidRPr="00764695">
        <w:rPr>
          <w:rFonts w:ascii="Arial" w:hAnsi="Arial" w:cs="Arial"/>
          <w:sz w:val="22"/>
        </w:rPr>
        <w:t xml:space="preserve">” The objectives of this paper are to educate the service auditor about some of the unique aspects of blockchain and to discuss the implications of the use of blockchain in a system used to provide services to user entities of a SOC for service organization report. The paper includes examples of how service organizations might use blockchain in a system used to provide services to user entities, as well as additional AICPA resources for service auditors who want to learn more about blockchain. </w:t>
      </w:r>
    </w:p>
    <w:p w14:paraId="53C613A7" w14:textId="77777777" w:rsidR="009D2B99" w:rsidRPr="00764695" w:rsidRDefault="009D2B99" w:rsidP="009D2B99">
      <w:pPr>
        <w:pStyle w:val="NoSpacing"/>
        <w:rPr>
          <w:rFonts w:ascii="Arial" w:hAnsi="Arial" w:cs="Arial"/>
          <w:sz w:val="22"/>
        </w:rPr>
      </w:pPr>
    </w:p>
    <w:p w14:paraId="70ECD2D2" w14:textId="77777777" w:rsidR="009D2B99" w:rsidRPr="00764695" w:rsidRDefault="009D2B99" w:rsidP="009D2B99">
      <w:pPr>
        <w:pStyle w:val="NoSpacing"/>
        <w:rPr>
          <w:rFonts w:ascii="Arial" w:hAnsi="Arial" w:cs="Arial"/>
          <w:sz w:val="22"/>
        </w:rPr>
      </w:pPr>
      <w:r w:rsidRPr="00764695">
        <w:rPr>
          <w:rFonts w:ascii="Arial" w:hAnsi="Arial" w:cs="Arial"/>
          <w:sz w:val="22"/>
        </w:rPr>
        <w:t>The paper is divided into two parts:</w:t>
      </w:r>
    </w:p>
    <w:p w14:paraId="4860A45F" w14:textId="77777777" w:rsidR="009D2B99" w:rsidRDefault="009D2B99" w:rsidP="009D2B99">
      <w:pPr>
        <w:pStyle w:val="NoSpacing"/>
        <w:numPr>
          <w:ilvl w:val="0"/>
          <w:numId w:val="32"/>
        </w:numPr>
        <w:rPr>
          <w:rFonts w:ascii="Arial" w:hAnsi="Arial" w:cs="Arial"/>
          <w:sz w:val="22"/>
        </w:rPr>
      </w:pPr>
      <w:r w:rsidRPr="00764695">
        <w:rPr>
          <w:rFonts w:ascii="Arial" w:hAnsi="Arial" w:cs="Arial"/>
          <w:sz w:val="22"/>
        </w:rPr>
        <w:t xml:space="preserve">Part 1 </w:t>
      </w:r>
    </w:p>
    <w:p w14:paraId="3E8EA182" w14:textId="30C9031B" w:rsidR="009D2B99" w:rsidRPr="00190C61" w:rsidRDefault="00841EF9" w:rsidP="009D2B99">
      <w:pPr>
        <w:pStyle w:val="NoSpacing"/>
        <w:numPr>
          <w:ilvl w:val="1"/>
          <w:numId w:val="32"/>
        </w:numPr>
        <w:rPr>
          <w:rFonts w:ascii="Arial" w:hAnsi="Arial" w:cs="Arial"/>
          <w:sz w:val="22"/>
        </w:rPr>
      </w:pPr>
      <w:r>
        <w:rPr>
          <w:rFonts w:ascii="Arial" w:hAnsi="Arial" w:cs="Arial"/>
          <w:sz w:val="22"/>
          <w:lang w:val="en"/>
        </w:rPr>
        <w:t>P</w:t>
      </w:r>
      <w:r w:rsidR="009D2B99" w:rsidRPr="00190C61">
        <w:rPr>
          <w:rFonts w:ascii="Arial" w:hAnsi="Arial" w:cs="Arial"/>
          <w:sz w:val="22"/>
          <w:lang w:val="en"/>
        </w:rPr>
        <w:t>resents an overview of blockchain, including a discussion of the different types of blockchain networks and some of its unique features</w:t>
      </w:r>
    </w:p>
    <w:p w14:paraId="00D6DFA2" w14:textId="60774A55" w:rsidR="009D2B99" w:rsidRPr="00764695" w:rsidRDefault="00841EF9" w:rsidP="009D2B99">
      <w:pPr>
        <w:pStyle w:val="NoSpacing"/>
        <w:numPr>
          <w:ilvl w:val="1"/>
          <w:numId w:val="32"/>
        </w:numPr>
        <w:rPr>
          <w:rFonts w:ascii="Arial" w:hAnsi="Arial" w:cs="Arial"/>
          <w:sz w:val="22"/>
        </w:rPr>
      </w:pPr>
      <w:r>
        <w:rPr>
          <w:rFonts w:ascii="Arial" w:hAnsi="Arial" w:cs="Arial"/>
          <w:sz w:val="22"/>
        </w:rPr>
        <w:t>I</w:t>
      </w:r>
      <w:r w:rsidR="009D2B99" w:rsidRPr="00764695">
        <w:rPr>
          <w:rFonts w:ascii="Arial" w:hAnsi="Arial" w:cs="Arial"/>
          <w:sz w:val="22"/>
        </w:rPr>
        <w:t>dentifies s</w:t>
      </w:r>
      <w:r w:rsidR="009D2B99" w:rsidRPr="00764695">
        <w:rPr>
          <w:rFonts w:ascii="Arial" w:hAnsi="Arial" w:cs="Arial"/>
          <w:color w:val="000000"/>
          <w:sz w:val="22"/>
        </w:rPr>
        <w:t>pecific</w:t>
      </w:r>
      <w:r w:rsidR="009D2B99" w:rsidRPr="00764695">
        <w:rPr>
          <w:rFonts w:ascii="Arial" w:hAnsi="Arial" w:cs="Arial"/>
          <w:sz w:val="22"/>
        </w:rPr>
        <w:t xml:space="preserve"> risks of using blockchain</w:t>
      </w:r>
    </w:p>
    <w:p w14:paraId="4E4DF070" w14:textId="77777777" w:rsidR="009D2B99" w:rsidRPr="00764695" w:rsidRDefault="009D2B99" w:rsidP="009D2B99">
      <w:pPr>
        <w:pStyle w:val="NoSpacing"/>
        <w:rPr>
          <w:rFonts w:ascii="Arial" w:hAnsi="Arial" w:cs="Arial"/>
          <w:sz w:val="22"/>
        </w:rPr>
      </w:pPr>
    </w:p>
    <w:p w14:paraId="1F0DE76F" w14:textId="77777777" w:rsidR="009D2B99" w:rsidRDefault="009D2B99" w:rsidP="009D2B99">
      <w:pPr>
        <w:pStyle w:val="NoSpacing"/>
        <w:numPr>
          <w:ilvl w:val="0"/>
          <w:numId w:val="32"/>
        </w:numPr>
        <w:rPr>
          <w:rFonts w:ascii="Arial" w:hAnsi="Arial" w:cs="Arial"/>
          <w:sz w:val="22"/>
        </w:rPr>
      </w:pPr>
      <w:r w:rsidRPr="00764695">
        <w:rPr>
          <w:rFonts w:ascii="Arial" w:hAnsi="Arial" w:cs="Arial"/>
          <w:sz w:val="22"/>
        </w:rPr>
        <w:t xml:space="preserve">Part 2 </w:t>
      </w:r>
    </w:p>
    <w:p w14:paraId="73745E18" w14:textId="49CE654B" w:rsidR="009D2B99" w:rsidRPr="00190C61" w:rsidRDefault="00841EF9" w:rsidP="009D2B99">
      <w:pPr>
        <w:pStyle w:val="NoSpacing"/>
        <w:numPr>
          <w:ilvl w:val="1"/>
          <w:numId w:val="32"/>
        </w:numPr>
        <w:rPr>
          <w:rFonts w:ascii="Arial" w:hAnsi="Arial" w:cs="Arial"/>
          <w:sz w:val="22"/>
        </w:rPr>
      </w:pPr>
      <w:r>
        <w:rPr>
          <w:rFonts w:ascii="Arial" w:hAnsi="Arial" w:cs="Arial"/>
          <w:sz w:val="22"/>
        </w:rPr>
        <w:t>P</w:t>
      </w:r>
      <w:r w:rsidR="009D2B99" w:rsidRPr="00190C61">
        <w:rPr>
          <w:rFonts w:ascii="Arial" w:hAnsi="Arial" w:cs="Arial"/>
          <w:sz w:val="22"/>
        </w:rPr>
        <w:t xml:space="preserve">resents an overview of relevant professional standards and criteria governing SOC for service organization examinations  </w:t>
      </w:r>
    </w:p>
    <w:p w14:paraId="524AB794" w14:textId="35881DC7" w:rsidR="009D2B99" w:rsidRDefault="00841EF9" w:rsidP="009D2B99">
      <w:pPr>
        <w:pStyle w:val="NoSpacing"/>
        <w:numPr>
          <w:ilvl w:val="0"/>
          <w:numId w:val="35"/>
        </w:numPr>
        <w:rPr>
          <w:rFonts w:ascii="Arial" w:hAnsi="Arial" w:cs="Arial"/>
          <w:sz w:val="22"/>
        </w:rPr>
      </w:pPr>
      <w:r>
        <w:rPr>
          <w:rFonts w:ascii="Arial" w:hAnsi="Arial" w:cs="Arial"/>
          <w:sz w:val="22"/>
        </w:rPr>
        <w:t>D</w:t>
      </w:r>
      <w:r w:rsidR="009D2B99" w:rsidRPr="00764695">
        <w:rPr>
          <w:rFonts w:ascii="Arial" w:hAnsi="Arial" w:cs="Arial"/>
          <w:sz w:val="22"/>
        </w:rPr>
        <w:t xml:space="preserve">iscusses the need for the engagement team to possess knowledge about blockchain and the specialized skills and competencies to perform the engagement, including the use of specialists when appropriate </w:t>
      </w:r>
    </w:p>
    <w:p w14:paraId="17718228" w14:textId="74237065" w:rsidR="009D2B99" w:rsidRDefault="00841EF9" w:rsidP="009D2B99">
      <w:pPr>
        <w:pStyle w:val="NoSpacing"/>
        <w:numPr>
          <w:ilvl w:val="0"/>
          <w:numId w:val="35"/>
        </w:numPr>
        <w:rPr>
          <w:rFonts w:ascii="Arial" w:hAnsi="Arial" w:cs="Arial"/>
          <w:sz w:val="22"/>
        </w:rPr>
      </w:pPr>
      <w:r>
        <w:rPr>
          <w:rFonts w:ascii="Arial" w:hAnsi="Arial" w:cs="Arial"/>
          <w:sz w:val="22"/>
        </w:rPr>
        <w:t>D</w:t>
      </w:r>
      <w:r w:rsidR="009D2B99" w:rsidRPr="00764695">
        <w:rPr>
          <w:rFonts w:ascii="Arial" w:hAnsi="Arial" w:cs="Arial"/>
          <w:sz w:val="22"/>
        </w:rPr>
        <w:t xml:space="preserve">escribes the unique elements of the auditor’s understanding of a service organization’s system when blockchain is integral to and interfaces with that system </w:t>
      </w:r>
    </w:p>
    <w:p w14:paraId="789B06C1" w14:textId="0B274AAB" w:rsidR="009D2B99" w:rsidRPr="00764695" w:rsidRDefault="00841EF9" w:rsidP="009D2B99">
      <w:pPr>
        <w:pStyle w:val="NoSpacing"/>
        <w:numPr>
          <w:ilvl w:val="0"/>
          <w:numId w:val="35"/>
        </w:numPr>
        <w:rPr>
          <w:rFonts w:ascii="Arial" w:hAnsi="Arial" w:cs="Arial"/>
          <w:sz w:val="22"/>
        </w:rPr>
      </w:pPr>
      <w:r>
        <w:rPr>
          <w:rFonts w:ascii="Arial" w:hAnsi="Arial" w:cs="Arial"/>
          <w:sz w:val="22"/>
        </w:rPr>
        <w:t>D</w:t>
      </w:r>
      <w:r w:rsidR="009D2B99" w:rsidRPr="00764695">
        <w:rPr>
          <w:rFonts w:ascii="Arial" w:hAnsi="Arial" w:cs="Arial"/>
          <w:sz w:val="22"/>
        </w:rPr>
        <w:t>iscusses unique considerations when forming an opinion on the description of a service organization’s system that includes blockchain, the suitability of the design of the controls, and in a type 2 examination, the operating effectiveness of controls.</w:t>
      </w:r>
    </w:p>
    <w:p w14:paraId="6E5F0C3A" w14:textId="77777777" w:rsidR="009D2B99" w:rsidRPr="00764695" w:rsidRDefault="009D2B99" w:rsidP="009D2B99">
      <w:pPr>
        <w:pStyle w:val="NoSpacing"/>
        <w:rPr>
          <w:rFonts w:ascii="Arial" w:hAnsi="Arial" w:cs="Arial"/>
          <w:sz w:val="22"/>
        </w:rPr>
      </w:pPr>
    </w:p>
    <w:p w14:paraId="4F64FF7C" w14:textId="15F675D0" w:rsidR="009D2B99" w:rsidRPr="00764695" w:rsidRDefault="009D2B99" w:rsidP="009D2B99">
      <w:pPr>
        <w:pStyle w:val="NoSpacing"/>
        <w:rPr>
          <w:rFonts w:ascii="Arial" w:hAnsi="Arial" w:cs="Arial"/>
          <w:sz w:val="22"/>
        </w:rPr>
      </w:pPr>
      <w:r w:rsidRPr="00764695">
        <w:rPr>
          <w:rFonts w:ascii="Arial" w:hAnsi="Arial" w:cs="Arial"/>
          <w:sz w:val="22"/>
        </w:rPr>
        <w:t>The complete paper may be found on the SOC web</w:t>
      </w:r>
      <w:r w:rsidR="00F64DBD">
        <w:rPr>
          <w:rFonts w:ascii="Arial" w:hAnsi="Arial" w:cs="Arial"/>
          <w:sz w:val="22"/>
        </w:rPr>
        <w:t xml:space="preserve"> </w:t>
      </w:r>
      <w:r w:rsidRPr="00764695">
        <w:rPr>
          <w:rFonts w:ascii="Arial" w:hAnsi="Arial" w:cs="Arial"/>
          <w:sz w:val="22"/>
        </w:rPr>
        <w:t xml:space="preserve">page </w:t>
      </w:r>
      <w:hyperlink r:id="rId58" w:history="1">
        <w:r w:rsidRPr="00764695">
          <w:rPr>
            <w:rStyle w:val="Hyperlink"/>
            <w:rFonts w:ascii="Arial" w:hAnsi="Arial" w:cs="Arial"/>
            <w:sz w:val="22"/>
          </w:rPr>
          <w:t>here</w:t>
        </w:r>
      </w:hyperlink>
      <w:r w:rsidRPr="00764695">
        <w:rPr>
          <w:rFonts w:ascii="Arial" w:hAnsi="Arial" w:cs="Arial"/>
          <w:sz w:val="22"/>
        </w:rPr>
        <w:t xml:space="preserve">.  </w:t>
      </w:r>
    </w:p>
    <w:p w14:paraId="70AA1FF8" w14:textId="77777777" w:rsidR="009D2B99" w:rsidRPr="00764695" w:rsidRDefault="009D2B99" w:rsidP="009D2B99">
      <w:pPr>
        <w:pStyle w:val="NoSpacing"/>
        <w:rPr>
          <w:rFonts w:ascii="Arial" w:hAnsi="Arial" w:cs="Arial"/>
          <w:sz w:val="22"/>
        </w:rPr>
      </w:pPr>
    </w:p>
    <w:p w14:paraId="49996AD3" w14:textId="2B1266C9" w:rsidR="009D2B99" w:rsidRPr="00764695" w:rsidRDefault="009D2B99" w:rsidP="009D2B99">
      <w:pPr>
        <w:pStyle w:val="NoSpacing"/>
        <w:rPr>
          <w:rFonts w:ascii="Arial" w:hAnsi="Arial" w:cs="Arial"/>
          <w:sz w:val="22"/>
        </w:rPr>
      </w:pPr>
      <w:r w:rsidRPr="00764695">
        <w:rPr>
          <w:rFonts w:ascii="Arial" w:hAnsi="Arial" w:cs="Arial"/>
          <w:sz w:val="22"/>
        </w:rPr>
        <w:t>For additional SOC resources</w:t>
      </w:r>
      <w:r w:rsidR="00F64DBD">
        <w:rPr>
          <w:rFonts w:ascii="Arial" w:hAnsi="Arial" w:cs="Arial"/>
          <w:sz w:val="22"/>
        </w:rPr>
        <w:t>,</w:t>
      </w:r>
      <w:r w:rsidRPr="00764695">
        <w:rPr>
          <w:rFonts w:ascii="Arial" w:hAnsi="Arial" w:cs="Arial"/>
          <w:sz w:val="22"/>
        </w:rPr>
        <w:t xml:space="preserve"> please visit the </w:t>
      </w:r>
      <w:hyperlink r:id="rId59" w:history="1">
        <w:r w:rsidRPr="00764695">
          <w:rPr>
            <w:rStyle w:val="Hyperlink"/>
            <w:rFonts w:ascii="Arial" w:hAnsi="Arial" w:cs="Arial"/>
            <w:sz w:val="22"/>
          </w:rPr>
          <w:t>Service Organization Controls: SOC Suite of Services</w:t>
        </w:r>
      </w:hyperlink>
      <w:r w:rsidRPr="00764695">
        <w:rPr>
          <w:rFonts w:ascii="Arial" w:hAnsi="Arial" w:cs="Arial"/>
          <w:sz w:val="22"/>
        </w:rPr>
        <w:t xml:space="preserve"> page. </w:t>
      </w:r>
    </w:p>
    <w:p w14:paraId="1DA3F2B4" w14:textId="77777777" w:rsidR="009D2B99" w:rsidRPr="00764695" w:rsidRDefault="009D2B99" w:rsidP="009D2B99">
      <w:pPr>
        <w:pStyle w:val="NoSpacing"/>
        <w:rPr>
          <w:rFonts w:ascii="Arial" w:hAnsi="Arial" w:cs="Arial"/>
          <w:sz w:val="22"/>
        </w:rPr>
      </w:pPr>
    </w:p>
    <w:p w14:paraId="35A292E5" w14:textId="77777777" w:rsidR="009D2B99" w:rsidRPr="00764695" w:rsidRDefault="009D2B99" w:rsidP="009D2B99">
      <w:pPr>
        <w:pStyle w:val="NoSpacing"/>
        <w:rPr>
          <w:rFonts w:ascii="Arial" w:hAnsi="Arial" w:cs="Arial"/>
          <w:b/>
          <w:bCs/>
          <w:iCs/>
          <w:color w:val="005BBB"/>
          <w:sz w:val="22"/>
        </w:rPr>
      </w:pPr>
      <w:r w:rsidRPr="00764695">
        <w:rPr>
          <w:rFonts w:ascii="Arial" w:hAnsi="Arial" w:cs="Arial"/>
          <w:b/>
          <w:bCs/>
          <w:iCs/>
          <w:color w:val="005BBB"/>
          <w:sz w:val="22"/>
        </w:rPr>
        <w:t xml:space="preserve">FAQs: SOC 2 and SOC 3 </w:t>
      </w:r>
      <w:r>
        <w:rPr>
          <w:rFonts w:ascii="Arial" w:hAnsi="Arial" w:cs="Arial"/>
          <w:b/>
          <w:bCs/>
          <w:iCs/>
          <w:color w:val="005BBB"/>
          <w:sz w:val="22"/>
        </w:rPr>
        <w:t>E</w:t>
      </w:r>
      <w:r w:rsidRPr="00764695">
        <w:rPr>
          <w:rFonts w:ascii="Arial" w:hAnsi="Arial" w:cs="Arial"/>
          <w:b/>
          <w:bCs/>
          <w:iCs/>
          <w:color w:val="005BBB"/>
          <w:sz w:val="22"/>
        </w:rPr>
        <w:t>xaminations</w:t>
      </w:r>
    </w:p>
    <w:p w14:paraId="38EA3B2D" w14:textId="77777777" w:rsidR="009D2B99" w:rsidRPr="00764695" w:rsidRDefault="009D2B99" w:rsidP="009D2B99">
      <w:pPr>
        <w:pStyle w:val="NoSpacing"/>
        <w:rPr>
          <w:rFonts w:ascii="Arial" w:hAnsi="Arial" w:cs="Arial"/>
          <w:sz w:val="8"/>
          <w:szCs w:val="8"/>
        </w:rPr>
      </w:pPr>
    </w:p>
    <w:p w14:paraId="51A31E1E" w14:textId="66ADD94E" w:rsidR="00F64DBD" w:rsidRDefault="009D2B99" w:rsidP="009D2B99">
      <w:pPr>
        <w:pStyle w:val="NoSpacing"/>
        <w:rPr>
          <w:rFonts w:ascii="Arial" w:hAnsi="Arial" w:cs="Arial"/>
          <w:sz w:val="22"/>
        </w:rPr>
      </w:pPr>
      <w:r w:rsidRPr="00764695">
        <w:rPr>
          <w:rFonts w:ascii="Arial" w:hAnsi="Arial" w:cs="Arial"/>
          <w:sz w:val="22"/>
        </w:rPr>
        <w:t xml:space="preserve">The AICPA staff has issued nonauthoritative guidance on selected practice matters raised by members in connection with SOC 2® and SOC 3® examinations. The </w:t>
      </w:r>
      <w:hyperlink r:id="rId60" w:history="1">
        <w:r w:rsidRPr="00764695">
          <w:rPr>
            <w:rStyle w:val="Hyperlink"/>
            <w:rFonts w:ascii="Arial" w:hAnsi="Arial" w:cs="Arial"/>
            <w:i/>
            <w:iCs/>
            <w:sz w:val="22"/>
          </w:rPr>
          <w:t>Frequently Asked Questions: SOC 2® and SOC 3® Examinations</w:t>
        </w:r>
      </w:hyperlink>
      <w:r w:rsidRPr="00764695">
        <w:rPr>
          <w:rFonts w:ascii="Arial" w:hAnsi="Arial" w:cs="Arial"/>
          <w:color w:val="000000"/>
          <w:sz w:val="22"/>
        </w:rPr>
        <w:t xml:space="preserve"> (FAQs</w:t>
      </w:r>
      <w:r w:rsidRPr="00764695">
        <w:rPr>
          <w:rFonts w:ascii="Arial" w:hAnsi="Arial" w:cs="Arial"/>
          <w:sz w:val="22"/>
        </w:rPr>
        <w:t>) represent the views of AICPA staff based on the input of members of the AICPA Assurance Services Executive Committee’s SOC 2® Working Group. The FAQs address the following topics:</w:t>
      </w:r>
    </w:p>
    <w:p w14:paraId="0CECFAFA" w14:textId="566090E2" w:rsidR="009D2B99" w:rsidRPr="00764695" w:rsidRDefault="009D2B99" w:rsidP="009D2B99">
      <w:pPr>
        <w:pStyle w:val="NoSpacing"/>
        <w:rPr>
          <w:rFonts w:ascii="Arial" w:hAnsi="Arial" w:cs="Arial"/>
          <w:sz w:val="22"/>
        </w:rPr>
      </w:pPr>
      <w:r w:rsidRPr="00764695">
        <w:rPr>
          <w:rFonts w:ascii="Arial" w:hAnsi="Arial" w:cs="Arial"/>
          <w:sz w:val="22"/>
        </w:rPr>
        <w:t xml:space="preserve">  </w:t>
      </w:r>
    </w:p>
    <w:p w14:paraId="7A650330" w14:textId="77777777" w:rsidR="009D2B99" w:rsidRPr="00764695" w:rsidRDefault="009D2B99" w:rsidP="009D2B99">
      <w:pPr>
        <w:pStyle w:val="NoSpacing"/>
        <w:numPr>
          <w:ilvl w:val="0"/>
          <w:numId w:val="34"/>
        </w:numPr>
        <w:rPr>
          <w:rFonts w:ascii="Arial" w:hAnsi="Arial" w:cs="Arial"/>
          <w:sz w:val="22"/>
        </w:rPr>
      </w:pPr>
      <w:r w:rsidRPr="00764695">
        <w:rPr>
          <w:rFonts w:ascii="Arial" w:hAnsi="Arial" w:cs="Arial"/>
          <w:sz w:val="22"/>
        </w:rPr>
        <w:t>Change in the Opinion on Design and Operating Effectiveness</w:t>
      </w:r>
    </w:p>
    <w:p w14:paraId="10383563" w14:textId="77777777" w:rsidR="009D2B99" w:rsidRPr="00764695" w:rsidRDefault="009D2B99" w:rsidP="009D2B99">
      <w:pPr>
        <w:pStyle w:val="NoSpacing"/>
        <w:numPr>
          <w:ilvl w:val="0"/>
          <w:numId w:val="34"/>
        </w:numPr>
        <w:rPr>
          <w:rFonts w:ascii="Arial" w:hAnsi="Arial" w:cs="Arial"/>
          <w:sz w:val="22"/>
        </w:rPr>
      </w:pPr>
      <w:r w:rsidRPr="00764695">
        <w:rPr>
          <w:rFonts w:ascii="Arial" w:hAnsi="Arial" w:cs="Arial"/>
          <w:sz w:val="22"/>
        </w:rPr>
        <w:t>Trust Services Categories Addressed</w:t>
      </w:r>
    </w:p>
    <w:p w14:paraId="5764CEA3" w14:textId="77777777" w:rsidR="009D2B99" w:rsidRPr="00764695" w:rsidRDefault="009D2B99" w:rsidP="009D2B99">
      <w:pPr>
        <w:pStyle w:val="NoSpacing"/>
        <w:numPr>
          <w:ilvl w:val="0"/>
          <w:numId w:val="34"/>
        </w:numPr>
        <w:rPr>
          <w:rFonts w:ascii="Arial" w:hAnsi="Arial" w:cs="Arial"/>
          <w:sz w:val="22"/>
        </w:rPr>
      </w:pPr>
      <w:r w:rsidRPr="00764695">
        <w:rPr>
          <w:rFonts w:ascii="Arial" w:hAnsi="Arial" w:cs="Arial"/>
          <w:sz w:val="22"/>
        </w:rPr>
        <w:t>Common Controls to meet the Trust Services Criteria</w:t>
      </w:r>
    </w:p>
    <w:p w14:paraId="51581B7B" w14:textId="77777777" w:rsidR="009D2B99" w:rsidRPr="00764695" w:rsidRDefault="009D2B99" w:rsidP="009D2B99">
      <w:pPr>
        <w:pStyle w:val="NoSpacing"/>
        <w:numPr>
          <w:ilvl w:val="0"/>
          <w:numId w:val="34"/>
        </w:numPr>
        <w:rPr>
          <w:rFonts w:ascii="Arial" w:hAnsi="Arial" w:cs="Arial"/>
          <w:sz w:val="22"/>
        </w:rPr>
      </w:pPr>
      <w:r w:rsidRPr="00764695">
        <w:rPr>
          <w:rFonts w:ascii="Arial" w:hAnsi="Arial" w:cs="Arial"/>
          <w:sz w:val="22"/>
        </w:rPr>
        <w:t>SOC Providers</w:t>
      </w:r>
    </w:p>
    <w:p w14:paraId="3C231679" w14:textId="77777777" w:rsidR="009D2B99" w:rsidRPr="00764695" w:rsidRDefault="009D2B99" w:rsidP="009D2B99">
      <w:pPr>
        <w:pStyle w:val="NoSpacing"/>
        <w:numPr>
          <w:ilvl w:val="0"/>
          <w:numId w:val="34"/>
        </w:numPr>
        <w:rPr>
          <w:rFonts w:ascii="Arial" w:hAnsi="Arial" w:cs="Arial"/>
          <w:sz w:val="22"/>
        </w:rPr>
      </w:pPr>
      <w:r w:rsidRPr="00764695">
        <w:rPr>
          <w:rFonts w:ascii="Arial" w:hAnsi="Arial" w:cs="Arial"/>
          <w:sz w:val="22"/>
        </w:rPr>
        <w:t>Considering the Appropriate Period of Time for a SOC 2 Examination</w:t>
      </w:r>
    </w:p>
    <w:p w14:paraId="2922032A" w14:textId="77777777" w:rsidR="009D2B99" w:rsidRPr="00764695" w:rsidRDefault="009D2B99" w:rsidP="009D2B99">
      <w:pPr>
        <w:pStyle w:val="NoSpacing"/>
        <w:numPr>
          <w:ilvl w:val="0"/>
          <w:numId w:val="34"/>
        </w:numPr>
        <w:rPr>
          <w:rFonts w:ascii="Arial" w:hAnsi="Arial" w:cs="Arial"/>
          <w:sz w:val="22"/>
        </w:rPr>
      </w:pPr>
      <w:r w:rsidRPr="00764695">
        <w:rPr>
          <w:rFonts w:ascii="Arial" w:hAnsi="Arial" w:cs="Arial"/>
          <w:sz w:val="22"/>
        </w:rPr>
        <w:t>Lack of a Board of Directors</w:t>
      </w:r>
    </w:p>
    <w:p w14:paraId="18E0289E" w14:textId="77777777" w:rsidR="009D2B99" w:rsidRPr="00764695" w:rsidRDefault="009D2B99" w:rsidP="009D2B99">
      <w:pPr>
        <w:pStyle w:val="NoSpacing"/>
        <w:numPr>
          <w:ilvl w:val="0"/>
          <w:numId w:val="34"/>
        </w:numPr>
        <w:rPr>
          <w:rFonts w:ascii="Arial" w:hAnsi="Arial" w:cs="Arial"/>
          <w:sz w:val="22"/>
        </w:rPr>
      </w:pPr>
      <w:r w:rsidRPr="00764695">
        <w:rPr>
          <w:rFonts w:ascii="Arial" w:hAnsi="Arial" w:cs="Arial"/>
          <w:sz w:val="22"/>
        </w:rPr>
        <w:t>SOC 2 Examination that Addresses Additional Subject Matters and Additional Criteria</w:t>
      </w:r>
    </w:p>
    <w:p w14:paraId="6A82FE60" w14:textId="77777777" w:rsidR="009D2B99" w:rsidRPr="00764695" w:rsidRDefault="009D2B99" w:rsidP="009D2B99">
      <w:pPr>
        <w:pStyle w:val="NoSpacing"/>
        <w:numPr>
          <w:ilvl w:val="0"/>
          <w:numId w:val="34"/>
        </w:numPr>
        <w:rPr>
          <w:rFonts w:ascii="Arial" w:hAnsi="Arial" w:cs="Arial"/>
          <w:sz w:val="22"/>
        </w:rPr>
      </w:pPr>
      <w:r w:rsidRPr="00764695">
        <w:rPr>
          <w:rFonts w:ascii="Arial" w:hAnsi="Arial" w:cs="Arial"/>
          <w:sz w:val="22"/>
        </w:rPr>
        <w:t>Use of Sampling</w:t>
      </w:r>
    </w:p>
    <w:p w14:paraId="3E65A5EE" w14:textId="77777777" w:rsidR="009D2B99" w:rsidRPr="00764695" w:rsidRDefault="009D2B99" w:rsidP="009D2B99">
      <w:pPr>
        <w:pStyle w:val="NoSpacing"/>
        <w:numPr>
          <w:ilvl w:val="0"/>
          <w:numId w:val="34"/>
        </w:numPr>
        <w:rPr>
          <w:rFonts w:ascii="Arial" w:hAnsi="Arial" w:cs="Arial"/>
          <w:sz w:val="22"/>
        </w:rPr>
      </w:pPr>
      <w:r w:rsidRPr="00764695">
        <w:rPr>
          <w:rFonts w:ascii="Arial" w:hAnsi="Arial" w:cs="Arial"/>
          <w:sz w:val="22"/>
        </w:rPr>
        <w:t>Laws and Regulations</w:t>
      </w:r>
    </w:p>
    <w:p w14:paraId="5C9B7B5E" w14:textId="77777777" w:rsidR="009D2B99" w:rsidRPr="00764695" w:rsidRDefault="009D2B99" w:rsidP="009D2B99">
      <w:pPr>
        <w:pStyle w:val="NoSpacing"/>
        <w:numPr>
          <w:ilvl w:val="0"/>
          <w:numId w:val="34"/>
        </w:numPr>
        <w:rPr>
          <w:rFonts w:ascii="Arial" w:hAnsi="Arial" w:cs="Arial"/>
          <w:sz w:val="22"/>
        </w:rPr>
      </w:pPr>
      <w:r w:rsidRPr="00764695">
        <w:rPr>
          <w:rFonts w:ascii="Arial" w:hAnsi="Arial" w:cs="Arial"/>
          <w:sz w:val="22"/>
        </w:rPr>
        <w:t>Procedures for Testing Operating Effectiveness</w:t>
      </w:r>
    </w:p>
    <w:p w14:paraId="53D8B22B" w14:textId="77777777" w:rsidR="009D2B99" w:rsidRPr="00764695" w:rsidRDefault="009D2B99" w:rsidP="009D2B99">
      <w:pPr>
        <w:pStyle w:val="NoSpacing"/>
        <w:numPr>
          <w:ilvl w:val="0"/>
          <w:numId w:val="34"/>
        </w:numPr>
        <w:rPr>
          <w:rFonts w:ascii="Arial" w:hAnsi="Arial" w:cs="Arial"/>
          <w:sz w:val="22"/>
        </w:rPr>
      </w:pPr>
      <w:r w:rsidRPr="00764695">
        <w:rPr>
          <w:rFonts w:ascii="Arial" w:hAnsi="Arial" w:cs="Arial"/>
          <w:sz w:val="22"/>
        </w:rPr>
        <w:t>Consideration of Materiality in a SOC 2 Examination</w:t>
      </w:r>
    </w:p>
    <w:p w14:paraId="3B38007A" w14:textId="77777777" w:rsidR="009D2B99" w:rsidRPr="00764695" w:rsidRDefault="009D2B99" w:rsidP="009D2B99">
      <w:pPr>
        <w:pStyle w:val="NoSpacing"/>
        <w:numPr>
          <w:ilvl w:val="0"/>
          <w:numId w:val="34"/>
        </w:numPr>
        <w:rPr>
          <w:rFonts w:ascii="Arial" w:hAnsi="Arial" w:cs="Arial"/>
          <w:sz w:val="22"/>
        </w:rPr>
      </w:pPr>
      <w:r w:rsidRPr="00764695">
        <w:rPr>
          <w:rFonts w:ascii="Arial" w:hAnsi="Arial" w:cs="Arial"/>
          <w:sz w:val="22"/>
        </w:rPr>
        <w:t xml:space="preserve">SOC 3 Examinations </w:t>
      </w:r>
    </w:p>
    <w:p w14:paraId="6E770E87" w14:textId="77777777" w:rsidR="009D2B99" w:rsidRPr="00764695" w:rsidRDefault="009D2B99" w:rsidP="009D2B99">
      <w:pPr>
        <w:pStyle w:val="NoSpacing"/>
        <w:numPr>
          <w:ilvl w:val="0"/>
          <w:numId w:val="34"/>
        </w:numPr>
        <w:rPr>
          <w:rFonts w:ascii="Arial" w:hAnsi="Arial" w:cs="Arial"/>
          <w:sz w:val="22"/>
        </w:rPr>
      </w:pPr>
      <w:r w:rsidRPr="00764695">
        <w:rPr>
          <w:rFonts w:ascii="Arial" w:hAnsi="Arial" w:cs="Arial"/>
          <w:sz w:val="22"/>
        </w:rPr>
        <w:t>SOC Logo for CPAs</w:t>
      </w:r>
    </w:p>
    <w:p w14:paraId="68753273" w14:textId="77777777" w:rsidR="009D2B99" w:rsidRPr="00764695" w:rsidRDefault="009D2B99" w:rsidP="009D2B99">
      <w:pPr>
        <w:pStyle w:val="NoSpacing"/>
        <w:rPr>
          <w:rFonts w:ascii="Arial" w:hAnsi="Arial" w:cs="Arial"/>
          <w:sz w:val="22"/>
        </w:rPr>
      </w:pPr>
    </w:p>
    <w:p w14:paraId="731D44B5" w14:textId="7BFDE5A9" w:rsidR="009D2B99" w:rsidRDefault="009D2B99" w:rsidP="009D2B99">
      <w:pPr>
        <w:pStyle w:val="NoSpacing"/>
        <w:rPr>
          <w:rFonts w:ascii="Arial" w:hAnsi="Arial" w:cs="Arial"/>
          <w:sz w:val="22"/>
        </w:rPr>
      </w:pPr>
      <w:r w:rsidRPr="00764695">
        <w:rPr>
          <w:rFonts w:ascii="Arial" w:hAnsi="Arial" w:cs="Arial"/>
          <w:sz w:val="22"/>
        </w:rPr>
        <w:t>The complete FAQs may be found on the SOC web</w:t>
      </w:r>
      <w:r w:rsidR="00F64DBD">
        <w:rPr>
          <w:rFonts w:ascii="Arial" w:hAnsi="Arial" w:cs="Arial"/>
          <w:sz w:val="22"/>
        </w:rPr>
        <w:t xml:space="preserve"> </w:t>
      </w:r>
      <w:r w:rsidRPr="00764695">
        <w:rPr>
          <w:rFonts w:ascii="Arial" w:hAnsi="Arial" w:cs="Arial"/>
          <w:sz w:val="22"/>
        </w:rPr>
        <w:t xml:space="preserve">page </w:t>
      </w:r>
      <w:hyperlink r:id="rId61" w:history="1">
        <w:r w:rsidRPr="00764695">
          <w:rPr>
            <w:rStyle w:val="Hyperlink"/>
            <w:rFonts w:ascii="Arial" w:hAnsi="Arial" w:cs="Arial"/>
            <w:sz w:val="22"/>
          </w:rPr>
          <w:t>here</w:t>
        </w:r>
      </w:hyperlink>
      <w:r w:rsidRPr="00764695">
        <w:rPr>
          <w:rFonts w:ascii="Arial" w:hAnsi="Arial" w:cs="Arial"/>
          <w:sz w:val="22"/>
        </w:rPr>
        <w:t>.</w:t>
      </w:r>
    </w:p>
    <w:p w14:paraId="172B0AB1" w14:textId="73188DCA" w:rsidR="0014777B" w:rsidRPr="00841EF9" w:rsidRDefault="0014777B" w:rsidP="0014777B">
      <w:pPr>
        <w:widowControl/>
        <w:autoSpaceDE/>
        <w:autoSpaceDN/>
        <w:adjustRightInd/>
        <w:spacing w:after="160" w:line="259" w:lineRule="auto"/>
        <w:contextual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BBB"/>
        <w:tblLook w:val="04A0" w:firstRow="1" w:lastRow="0" w:firstColumn="1" w:lastColumn="0" w:noHBand="0" w:noVBand="1"/>
      </w:tblPr>
      <w:tblGrid>
        <w:gridCol w:w="10790"/>
      </w:tblGrid>
      <w:tr w:rsidR="00CE4799" w14:paraId="69DDE89D" w14:textId="77777777" w:rsidTr="001749B1">
        <w:trPr>
          <w:trHeight w:val="576"/>
        </w:trPr>
        <w:tc>
          <w:tcPr>
            <w:tcW w:w="10790" w:type="dxa"/>
            <w:shd w:val="clear" w:color="auto" w:fill="005BBB"/>
            <w:vAlign w:val="center"/>
          </w:tcPr>
          <w:p w14:paraId="15654A3E" w14:textId="23BCA292" w:rsidR="00CE4799" w:rsidRPr="00190C61" w:rsidRDefault="00D93A0A" w:rsidP="001749B1">
            <w:pPr>
              <w:pStyle w:val="NoSpacing"/>
              <w:rPr>
                <w:rFonts w:ascii="Arial" w:hAnsi="Arial" w:cs="Arial"/>
                <w:b/>
                <w:bCs/>
                <w:color w:val="FF0000"/>
                <w:sz w:val="32"/>
                <w:szCs w:val="32"/>
              </w:rPr>
            </w:pPr>
            <w:r>
              <w:rPr>
                <w:rFonts w:ascii="Arial" w:hAnsi="Arial" w:cs="Arial"/>
                <w:b/>
                <w:bCs/>
                <w:color w:val="FFFFFF" w:themeColor="background1"/>
                <w:sz w:val="32"/>
                <w:szCs w:val="32"/>
              </w:rPr>
              <w:lastRenderedPageBreak/>
              <w:t>Other Items of Note</w:t>
            </w:r>
          </w:p>
        </w:tc>
      </w:tr>
    </w:tbl>
    <w:p w14:paraId="100470BA" w14:textId="1E4152D0" w:rsidR="00CE4799" w:rsidRDefault="00CE4799" w:rsidP="00D93A0A">
      <w:pPr>
        <w:pStyle w:val="NoSpacing"/>
        <w:rPr>
          <w:rFonts w:ascii="Arial" w:hAnsi="Arial" w:cs="Arial"/>
          <w:sz w:val="8"/>
          <w:szCs w:val="8"/>
        </w:rPr>
      </w:pPr>
    </w:p>
    <w:p w14:paraId="4F8AB436" w14:textId="77777777" w:rsidR="008E0DEC" w:rsidRPr="0035161C" w:rsidRDefault="008E0DEC" w:rsidP="008E0DEC">
      <w:pPr>
        <w:widowControl/>
        <w:autoSpaceDE/>
        <w:autoSpaceDN/>
        <w:adjustRightInd/>
        <w:spacing w:after="0"/>
        <w:rPr>
          <w:rFonts w:ascii="Arial" w:hAnsi="Arial" w:cs="Arial"/>
          <w:b/>
          <w:bCs/>
          <w:iCs/>
          <w:color w:val="005BBB"/>
          <w:sz w:val="8"/>
          <w:szCs w:val="8"/>
        </w:rPr>
      </w:pPr>
      <w:r w:rsidRPr="0035161C">
        <w:rPr>
          <w:rFonts w:ascii="Arial" w:hAnsi="Arial" w:cs="Arial"/>
          <w:b/>
          <w:bCs/>
          <w:iCs/>
          <w:color w:val="005BBB"/>
        </w:rPr>
        <w:t>Goodwill Impairment Triggering Event Evaluations for Private Companies and Not-For-Profits</w:t>
      </w:r>
    </w:p>
    <w:p w14:paraId="1730559C" w14:textId="77777777" w:rsidR="008E0DEC" w:rsidRPr="0035161C" w:rsidRDefault="008E0DEC" w:rsidP="008E0DEC">
      <w:pPr>
        <w:widowControl/>
        <w:autoSpaceDE/>
        <w:autoSpaceDN/>
        <w:adjustRightInd/>
        <w:spacing w:after="0"/>
        <w:rPr>
          <w:rFonts w:ascii="Arial" w:hAnsi="Arial" w:cs="Arial"/>
          <w:b/>
          <w:bCs/>
          <w:iCs/>
          <w:color w:val="005BBB"/>
          <w:sz w:val="8"/>
          <w:szCs w:val="8"/>
        </w:rPr>
      </w:pPr>
      <w:r w:rsidRPr="0035161C">
        <w:rPr>
          <w:rFonts w:ascii="Arial" w:hAnsi="Arial" w:cs="Arial"/>
          <w:b/>
          <w:bCs/>
          <w:iCs/>
          <w:color w:val="005BBB"/>
        </w:rPr>
        <w:t xml:space="preserve"> </w:t>
      </w:r>
    </w:p>
    <w:p w14:paraId="3450FAEB" w14:textId="77777777" w:rsidR="008E0DEC" w:rsidRPr="0035161C" w:rsidRDefault="008E0DEC" w:rsidP="008E0DEC">
      <w:pPr>
        <w:widowControl/>
        <w:autoSpaceDE/>
        <w:autoSpaceDN/>
        <w:adjustRightInd/>
        <w:spacing w:after="0"/>
        <w:rPr>
          <w:rFonts w:ascii="Arial" w:hAnsi="Arial" w:cs="Arial"/>
        </w:rPr>
      </w:pPr>
      <w:r w:rsidRPr="0035161C">
        <w:rPr>
          <w:rFonts w:ascii="Arial" w:hAnsi="Arial" w:cs="Arial"/>
        </w:rPr>
        <w:t xml:space="preserve">FASB issued a </w:t>
      </w:r>
      <w:hyperlink r:id="rId62" w:history="1">
        <w:r w:rsidRPr="0035161C">
          <w:rPr>
            <w:rFonts w:ascii="Arial" w:hAnsi="Arial" w:cs="Arial"/>
            <w:color w:val="0046AD"/>
            <w:u w:val="single"/>
          </w:rPr>
          <w:t>standard</w:t>
        </w:r>
      </w:hyperlink>
      <w:r w:rsidRPr="0035161C">
        <w:rPr>
          <w:rFonts w:ascii="Arial" w:hAnsi="Arial" w:cs="Arial"/>
        </w:rPr>
        <w:t> on March 30 that provides an alternative to goodwill impairment triggering event evaluations for private companies and not-for-profits (NFPs).</w:t>
      </w:r>
    </w:p>
    <w:p w14:paraId="21B6DA85" w14:textId="77777777" w:rsidR="008E0DEC" w:rsidRPr="0035161C" w:rsidRDefault="008E0DEC" w:rsidP="008E0DEC">
      <w:pPr>
        <w:widowControl/>
        <w:autoSpaceDE/>
        <w:autoSpaceDN/>
        <w:adjustRightInd/>
        <w:spacing w:after="0"/>
        <w:rPr>
          <w:rFonts w:ascii="Arial" w:hAnsi="Arial" w:cs="Arial"/>
        </w:rPr>
      </w:pPr>
    </w:p>
    <w:p w14:paraId="7EE9EF4A" w14:textId="77777777" w:rsidR="008E0DEC" w:rsidRPr="0035161C" w:rsidRDefault="008E0DEC" w:rsidP="008E0DEC">
      <w:pPr>
        <w:widowControl/>
        <w:autoSpaceDE/>
        <w:autoSpaceDN/>
        <w:adjustRightInd/>
        <w:spacing w:after="0"/>
        <w:rPr>
          <w:rFonts w:ascii="Arial" w:hAnsi="Arial" w:cs="Arial"/>
        </w:rPr>
      </w:pPr>
      <w:r w:rsidRPr="0035161C">
        <w:rPr>
          <w:rFonts w:ascii="Arial" w:hAnsi="Arial" w:cs="Arial"/>
        </w:rPr>
        <w:t>Under the accounting alternative, private companies and NFPs will have the option to perform a goodwill triggering event assessment, and any resulting test for goodwill impairment, at the end of the reporting period, whether in an interim or annual period. Private companies and NFPs that elect this alternative no longer will be required to perform this assessment during a reporting period, as the requirement is limited to the reporting date only.</w:t>
      </w:r>
    </w:p>
    <w:p w14:paraId="6F8DD4F4" w14:textId="77777777" w:rsidR="008E0DEC" w:rsidRPr="0035161C" w:rsidRDefault="008E0DEC" w:rsidP="008E0DEC">
      <w:pPr>
        <w:widowControl/>
        <w:autoSpaceDE/>
        <w:autoSpaceDN/>
        <w:adjustRightInd/>
        <w:spacing w:after="0"/>
        <w:rPr>
          <w:rFonts w:ascii="Arial" w:hAnsi="Arial" w:cs="Arial"/>
        </w:rPr>
      </w:pPr>
    </w:p>
    <w:p w14:paraId="2F2F8436" w14:textId="77777777" w:rsidR="008E0DEC" w:rsidRPr="0035161C" w:rsidRDefault="008E0DEC" w:rsidP="008E0DEC">
      <w:pPr>
        <w:widowControl/>
        <w:autoSpaceDE/>
        <w:autoSpaceDN/>
        <w:adjustRightInd/>
        <w:spacing w:after="0"/>
        <w:rPr>
          <w:rFonts w:ascii="Arial" w:hAnsi="Arial" w:cs="Arial"/>
          <w:shd w:val="clear" w:color="auto" w:fill="FFFFFF"/>
        </w:rPr>
      </w:pPr>
      <w:r w:rsidRPr="0035161C">
        <w:rPr>
          <w:rFonts w:ascii="Arial" w:hAnsi="Arial" w:cs="Arial"/>
          <w:shd w:val="clear" w:color="auto" w:fill="FFFFFF"/>
        </w:rPr>
        <w:t>The scope of the proposed alternative is limited to goodwill that is tested for impairment in accordance with FASB ASC Subtopic 350-20, </w:t>
      </w:r>
      <w:r w:rsidRPr="0035161C">
        <w:rPr>
          <w:rFonts w:ascii="Arial" w:hAnsi="Arial" w:cs="Arial"/>
          <w:i/>
          <w:iCs/>
          <w:shd w:val="clear" w:color="auto" w:fill="FFFFFF"/>
        </w:rPr>
        <w:t>Intangibles — Goodwill and Other — Goodwill</w:t>
      </w:r>
      <w:r w:rsidRPr="0035161C">
        <w:rPr>
          <w:rFonts w:ascii="Arial" w:hAnsi="Arial" w:cs="Arial"/>
          <w:shd w:val="clear" w:color="auto" w:fill="FFFFFF"/>
        </w:rPr>
        <w:t>. The amendments take effect on a prospective basis for fiscal years beginning after December 15, 2019.</w:t>
      </w:r>
    </w:p>
    <w:p w14:paraId="4CEFD0ED" w14:textId="77777777" w:rsidR="008E0DEC" w:rsidRPr="0035161C" w:rsidRDefault="008E0DEC" w:rsidP="008E0DEC">
      <w:pPr>
        <w:widowControl/>
        <w:autoSpaceDE/>
        <w:autoSpaceDN/>
        <w:adjustRightInd/>
        <w:spacing w:after="0"/>
        <w:rPr>
          <w:rFonts w:ascii="Arial" w:hAnsi="Arial" w:cs="Arial"/>
          <w:shd w:val="clear" w:color="auto" w:fill="FFFFFF"/>
        </w:rPr>
      </w:pPr>
    </w:p>
    <w:p w14:paraId="272EEE9D" w14:textId="77777777" w:rsidR="008E0DEC" w:rsidRPr="0035161C" w:rsidRDefault="008E0DEC" w:rsidP="008E0DEC">
      <w:pPr>
        <w:widowControl/>
        <w:autoSpaceDE/>
        <w:autoSpaceDN/>
        <w:adjustRightInd/>
        <w:spacing w:after="0"/>
        <w:rPr>
          <w:rFonts w:ascii="Arial" w:hAnsi="Arial" w:cs="Arial"/>
          <w:shd w:val="clear" w:color="auto" w:fill="FFFFFF"/>
        </w:rPr>
      </w:pPr>
      <w:r w:rsidRPr="0035161C">
        <w:rPr>
          <w:rFonts w:ascii="Arial" w:hAnsi="Arial" w:cs="Arial"/>
          <w:shd w:val="clear" w:color="auto" w:fill="FFFFFF"/>
        </w:rPr>
        <w:t>Early adoption is allowed for interim and annual financial statements that have not yet been issued or made available for issuance as of March 30, 2021. FASB is requiring that an entity should not retroactively adopt these amendments for interim financial statements already issued in the year of adoption.</w:t>
      </w:r>
    </w:p>
    <w:p w14:paraId="4E84C0B2" w14:textId="77777777" w:rsidR="008E0DEC" w:rsidRPr="0035161C" w:rsidRDefault="008E0DEC" w:rsidP="008E0DEC">
      <w:pPr>
        <w:widowControl/>
        <w:autoSpaceDE/>
        <w:autoSpaceDN/>
        <w:adjustRightInd/>
        <w:spacing w:after="0"/>
        <w:rPr>
          <w:rFonts w:ascii="Arial" w:hAnsi="Arial" w:cs="Arial"/>
          <w:shd w:val="clear" w:color="auto" w:fill="FFFFFF"/>
        </w:rPr>
      </w:pPr>
    </w:p>
    <w:p w14:paraId="55E14754" w14:textId="77777777" w:rsidR="008E0DEC" w:rsidRPr="0035161C" w:rsidRDefault="008E0DEC" w:rsidP="008E0DEC">
      <w:pPr>
        <w:widowControl/>
        <w:autoSpaceDE/>
        <w:autoSpaceDN/>
        <w:adjustRightInd/>
        <w:spacing w:after="0"/>
        <w:rPr>
          <w:rFonts w:ascii="Arial" w:hAnsi="Arial" w:cs="Arial"/>
          <w:shd w:val="clear" w:color="auto" w:fill="FFFFFF"/>
        </w:rPr>
      </w:pPr>
      <w:r w:rsidRPr="0035161C">
        <w:rPr>
          <w:rFonts w:ascii="Arial" w:hAnsi="Arial" w:cs="Arial"/>
          <w:shd w:val="clear" w:color="auto" w:fill="FFFFFF"/>
        </w:rPr>
        <w:t>The amendments in the ASU also include an unconditional one-time option for entities to adopt the alternative prospectively after its effective date. No additional disclosures would be required.</w:t>
      </w:r>
    </w:p>
    <w:p w14:paraId="3410D79F" w14:textId="77777777" w:rsidR="00622351" w:rsidRDefault="00622351" w:rsidP="00DA18EE">
      <w:pPr>
        <w:pStyle w:val="NoSpacing"/>
        <w:rPr>
          <w:rFonts w:ascii="Arial" w:hAnsi="Arial" w:cs="Arial"/>
          <w:b/>
          <w:bCs/>
          <w:iCs/>
          <w:color w:val="005BBB"/>
          <w:sz w:val="22"/>
        </w:rPr>
      </w:pPr>
    </w:p>
    <w:p w14:paraId="2506F474" w14:textId="4D904E18" w:rsidR="00DA18EE" w:rsidRPr="00DA18EE" w:rsidRDefault="00DA18EE" w:rsidP="00DA18EE">
      <w:pPr>
        <w:pStyle w:val="NoSpacing"/>
        <w:rPr>
          <w:rFonts w:ascii="Arial" w:hAnsi="Arial" w:cs="Arial"/>
          <w:b/>
          <w:bCs/>
          <w:iCs/>
          <w:color w:val="005BBB"/>
          <w:sz w:val="22"/>
        </w:rPr>
      </w:pPr>
      <w:r w:rsidRPr="00DA18EE">
        <w:rPr>
          <w:rFonts w:ascii="Arial" w:hAnsi="Arial" w:cs="Arial"/>
          <w:b/>
          <w:bCs/>
          <w:iCs/>
          <w:color w:val="005BBB"/>
          <w:sz w:val="22"/>
        </w:rPr>
        <w:t>SSAE No. 19 on Agreed-Upon Procedures Engagements Effective July 15</w:t>
      </w:r>
    </w:p>
    <w:p w14:paraId="16DCBDE4" w14:textId="77777777" w:rsidR="00DA18EE" w:rsidRPr="00DA18EE" w:rsidRDefault="00DA18EE" w:rsidP="00DA18EE">
      <w:pPr>
        <w:pStyle w:val="NoSpacing"/>
        <w:rPr>
          <w:rFonts w:ascii="Arial" w:hAnsi="Arial" w:cs="Arial"/>
          <w:sz w:val="8"/>
          <w:szCs w:val="8"/>
        </w:rPr>
      </w:pPr>
    </w:p>
    <w:p w14:paraId="2D6D8CB3" w14:textId="677867C2" w:rsidR="00DA18EE" w:rsidRPr="00DA18EE" w:rsidRDefault="00DA18EE" w:rsidP="00DA18EE">
      <w:pPr>
        <w:pStyle w:val="NoSpacing"/>
        <w:rPr>
          <w:rFonts w:ascii="Arial" w:hAnsi="Arial" w:cs="Arial"/>
          <w:sz w:val="22"/>
        </w:rPr>
      </w:pPr>
      <w:r w:rsidRPr="00DA18EE">
        <w:rPr>
          <w:rFonts w:ascii="Arial" w:hAnsi="Arial" w:cs="Arial"/>
          <w:sz w:val="22"/>
        </w:rPr>
        <w:t xml:space="preserve">The Auditing Standards Board (ASB) issued </w:t>
      </w:r>
      <w:hyperlink r:id="rId63" w:history="1">
        <w:r w:rsidRPr="00DA18EE">
          <w:rPr>
            <w:rStyle w:val="Hyperlink"/>
            <w:rFonts w:ascii="Arial" w:hAnsi="Arial" w:cs="Arial"/>
            <w:sz w:val="22"/>
          </w:rPr>
          <w:t xml:space="preserve">Statement on Standards for Attestation Engagements No. 19, </w:t>
        </w:r>
        <w:r w:rsidRPr="00DA18EE">
          <w:rPr>
            <w:rStyle w:val="Hyperlink"/>
            <w:rFonts w:ascii="Arial" w:hAnsi="Arial" w:cs="Arial"/>
            <w:i/>
            <w:iCs/>
            <w:sz w:val="22"/>
          </w:rPr>
          <w:t>Agreed-Upon Procedures Engagements</w:t>
        </w:r>
      </w:hyperlink>
      <w:r w:rsidRPr="00DA18EE">
        <w:rPr>
          <w:rFonts w:ascii="Arial" w:hAnsi="Arial" w:cs="Arial"/>
          <w:sz w:val="22"/>
        </w:rPr>
        <w:t xml:space="preserve"> in December 2019. The standard is effective for all agreed-upon procedures reports dated on or after July 15, 2021. However, early implementation is permitted, and some practitioners implemented the new standard as soon as it was issued.</w:t>
      </w:r>
    </w:p>
    <w:p w14:paraId="5EBB83B2" w14:textId="77777777" w:rsidR="00DA18EE" w:rsidRPr="00DA18EE" w:rsidRDefault="00DA18EE" w:rsidP="00DA18EE">
      <w:pPr>
        <w:pStyle w:val="NoSpacing"/>
        <w:rPr>
          <w:rFonts w:ascii="Arial" w:hAnsi="Arial" w:cs="Arial"/>
          <w:sz w:val="22"/>
        </w:rPr>
      </w:pPr>
    </w:p>
    <w:p w14:paraId="5AB8273E" w14:textId="77777777" w:rsidR="00DA18EE" w:rsidRPr="00DA18EE" w:rsidRDefault="00DA18EE" w:rsidP="00DA18EE">
      <w:pPr>
        <w:pStyle w:val="NoSpacing"/>
        <w:rPr>
          <w:rFonts w:ascii="Arial" w:hAnsi="Arial" w:cs="Arial"/>
          <w:sz w:val="22"/>
        </w:rPr>
      </w:pPr>
      <w:r w:rsidRPr="00DA18EE">
        <w:rPr>
          <w:rFonts w:ascii="Arial" w:hAnsi="Arial" w:cs="Arial"/>
          <w:sz w:val="22"/>
        </w:rPr>
        <w:t xml:space="preserve">SSAE No. 19 supersedes SSAE No. 18 AT-C section 215 of the same title in AICPA </w:t>
      </w:r>
      <w:r w:rsidRPr="00DA18EE">
        <w:rPr>
          <w:rFonts w:ascii="Arial" w:hAnsi="Arial" w:cs="Arial"/>
          <w:i/>
          <w:iCs/>
          <w:sz w:val="22"/>
        </w:rPr>
        <w:t>Professional Standards</w:t>
      </w:r>
      <w:r w:rsidRPr="00DA18EE">
        <w:rPr>
          <w:rFonts w:ascii="Arial" w:hAnsi="Arial" w:cs="Arial"/>
          <w:sz w:val="22"/>
        </w:rPr>
        <w:t xml:space="preserve">. SSAE No. 19, which also amends SSAE No. 18 AT-C section 105, </w:t>
      </w:r>
      <w:r w:rsidRPr="00DA18EE">
        <w:rPr>
          <w:rFonts w:ascii="Arial" w:hAnsi="Arial" w:cs="Arial"/>
          <w:i/>
          <w:iCs/>
          <w:sz w:val="22"/>
        </w:rPr>
        <w:t>Concepts Common to All Attestation Engagements</w:t>
      </w:r>
      <w:r w:rsidRPr="00DA18EE">
        <w:rPr>
          <w:rFonts w:ascii="Arial" w:hAnsi="Arial" w:cs="Arial"/>
          <w:sz w:val="22"/>
        </w:rPr>
        <w:t xml:space="preserve">, provides flexibility to a practitioner’s ability to perform an AUP engagement by (1) removing the requirement that the practitioner request a written assertion from the responsible party; (2) allowing procedures to be developed over the course of the engagement; (3) allowing the practitioner to assist in developing the procedures; (4) no longer requiring intended users to take responsibility for the sufficiency of the procedures and instead requiring the engaging party to acknowledge the appropriateness of the procedures prior to the issuance of the practitioner’s report; and (5) allowing the practitioner to issue a general-use report. </w:t>
      </w:r>
    </w:p>
    <w:p w14:paraId="65C65EB9" w14:textId="77777777" w:rsidR="00DA18EE" w:rsidRPr="00DA18EE" w:rsidRDefault="00DA18EE" w:rsidP="00DA18EE">
      <w:pPr>
        <w:pStyle w:val="NoSpacing"/>
        <w:rPr>
          <w:rFonts w:ascii="Arial" w:hAnsi="Arial" w:cs="Arial"/>
          <w:sz w:val="22"/>
        </w:rPr>
      </w:pPr>
    </w:p>
    <w:p w14:paraId="3D78A0C1" w14:textId="1F30308D" w:rsidR="00DA18EE" w:rsidRPr="00DA18EE" w:rsidRDefault="00DA18EE" w:rsidP="00DA18EE">
      <w:pPr>
        <w:pStyle w:val="NoSpacing"/>
        <w:rPr>
          <w:rFonts w:ascii="Arial" w:hAnsi="Arial" w:cs="Arial"/>
          <w:sz w:val="22"/>
        </w:rPr>
      </w:pPr>
      <w:r w:rsidRPr="00DA18EE">
        <w:rPr>
          <w:rFonts w:ascii="Arial" w:hAnsi="Arial" w:cs="Arial"/>
          <w:sz w:val="22"/>
        </w:rPr>
        <w:t xml:space="preserve">AICPA staff prepared a </w:t>
      </w:r>
      <w:hyperlink r:id="rId64" w:history="1">
        <w:r w:rsidRPr="00DA18EE">
          <w:rPr>
            <w:rStyle w:val="Hyperlink"/>
            <w:rFonts w:ascii="Arial" w:hAnsi="Arial" w:cs="Arial"/>
            <w:sz w:val="22"/>
          </w:rPr>
          <w:t>document</w:t>
        </w:r>
      </w:hyperlink>
      <w:r w:rsidRPr="00DA18EE">
        <w:rPr>
          <w:rFonts w:ascii="Arial" w:hAnsi="Arial" w:cs="Arial"/>
          <w:sz w:val="22"/>
        </w:rPr>
        <w:t xml:space="preserve"> to provide a detailed summary of the standard. In addition, while the requirements and guidance with respect to agreed-upon procedures engagements contained in AT-C sections 305 and 315 will not be updated until the standard is fully effective, practitioners may perform agreed-upon procedures engagements on prospective financial information and compliance with specified requirements, respectively  AICPA staff prepared an </w:t>
      </w:r>
      <w:hyperlink r:id="rId65" w:history="1">
        <w:r w:rsidRPr="00DA18EE">
          <w:rPr>
            <w:rStyle w:val="Hyperlink"/>
            <w:rFonts w:ascii="Arial" w:hAnsi="Arial" w:cs="Arial"/>
            <w:sz w:val="22"/>
          </w:rPr>
          <w:t>additional document</w:t>
        </w:r>
      </w:hyperlink>
      <w:r w:rsidRPr="00DA18EE">
        <w:rPr>
          <w:rFonts w:ascii="Arial" w:hAnsi="Arial" w:cs="Arial"/>
          <w:sz w:val="22"/>
        </w:rPr>
        <w:t xml:space="preserve"> to assist practitioners in performing such engagements prior to the effective date of SSAE No. 19.</w:t>
      </w:r>
    </w:p>
    <w:sectPr w:rsidR="00DA18EE" w:rsidRPr="00DA18EE" w:rsidSect="007E4EC0">
      <w:headerReference w:type="even" r:id="rId66"/>
      <w:headerReference w:type="default" r:id="rId67"/>
      <w:footerReference w:type="even" r:id="rId68"/>
      <w:footerReference w:type="default" r:id="rId69"/>
      <w:headerReference w:type="first" r:id="rId70"/>
      <w:footerReference w:type="first" r:id="rId71"/>
      <w:pgSz w:w="12240" w:h="15840" w:code="1"/>
      <w:pgMar w:top="720"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D27F0" w14:textId="77777777" w:rsidR="00574441" w:rsidRDefault="00574441" w:rsidP="00C03D04">
      <w:r>
        <w:separator/>
      </w:r>
    </w:p>
  </w:endnote>
  <w:endnote w:type="continuationSeparator" w:id="0">
    <w:p w14:paraId="24B9A33C" w14:textId="77777777" w:rsidR="00574441" w:rsidRDefault="00574441" w:rsidP="00C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55589" w14:textId="77777777" w:rsidR="00841EF9" w:rsidRDefault="00841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3DE4F" w14:textId="07BCC1D2" w:rsidR="00AB5A4F" w:rsidRPr="000B7C55" w:rsidRDefault="00FB04ED" w:rsidP="00836BEA">
    <w:pPr>
      <w:pStyle w:val="Footer"/>
      <w:jc w:val="right"/>
      <w:rPr>
        <w:rFonts w:ascii="Arial" w:hAnsi="Arial" w:cs="Arial"/>
        <w:color w:val="005BBB"/>
      </w:rPr>
    </w:pPr>
    <w:r>
      <w:rPr>
        <w:rFonts w:ascii="Arial" w:hAnsi="Arial" w:cs="Arial"/>
        <w:color w:val="005BBB"/>
      </w:rPr>
      <w:t>Spring 2021</w:t>
    </w:r>
    <w:r w:rsidR="00AB5A4F" w:rsidRPr="000B7C55">
      <w:rPr>
        <w:rFonts w:ascii="Arial" w:hAnsi="Arial" w:cs="Arial"/>
        <w:color w:val="005BBB"/>
      </w:rPr>
      <w:t xml:space="preserve"> </w:t>
    </w:r>
    <w:r w:rsidR="00DB21F5" w:rsidRPr="000B7C55">
      <w:rPr>
        <w:rFonts w:ascii="Arial" w:hAnsi="Arial" w:cs="Arial"/>
        <w:color w:val="005BBB"/>
      </w:rPr>
      <w:t>E</w:t>
    </w:r>
    <w:r w:rsidR="00AB5A4F" w:rsidRPr="000B7C55">
      <w:rPr>
        <w:rFonts w:ascii="Arial" w:hAnsi="Arial" w:cs="Arial"/>
        <w:color w:val="005BBB"/>
      </w:rPr>
      <w:t>dition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BAA4" w14:textId="77777777" w:rsidR="00AB5A4F" w:rsidRPr="00AB5A4F" w:rsidRDefault="00AB5A4F" w:rsidP="00AB5A4F">
    <w:pPr>
      <w:pStyle w:val="Footer"/>
      <w:jc w:val="right"/>
      <w:rPr>
        <w:color w:val="7030A0"/>
      </w:rPr>
    </w:pPr>
    <w:r w:rsidRPr="00AB5A4F">
      <w:rPr>
        <w:color w:val="7030A0"/>
      </w:rPr>
      <w:t>Fall 2019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DEE13" w14:textId="77777777" w:rsidR="00574441" w:rsidRDefault="00574441" w:rsidP="00C03D04">
      <w:r>
        <w:separator/>
      </w:r>
    </w:p>
  </w:footnote>
  <w:footnote w:type="continuationSeparator" w:id="0">
    <w:p w14:paraId="05CA8818" w14:textId="77777777" w:rsidR="00574441" w:rsidRDefault="00574441" w:rsidP="00C0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94D11" w14:textId="77777777" w:rsidR="00841EF9" w:rsidRDefault="00841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B0609" w14:textId="77777777" w:rsidR="00841EF9" w:rsidRDefault="00841E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3A073" w14:textId="77777777" w:rsidR="00841EF9" w:rsidRDefault="00841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B2951"/>
    <w:multiLevelType w:val="hybridMultilevel"/>
    <w:tmpl w:val="1A56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33CD2"/>
    <w:multiLevelType w:val="hybridMultilevel"/>
    <w:tmpl w:val="E48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C7E85"/>
    <w:multiLevelType w:val="multilevel"/>
    <w:tmpl w:val="114AC90A"/>
    <w:lvl w:ilvl="0">
      <w:start w:val="1"/>
      <w:numFmt w:val="bullet"/>
      <w:lvlText w:val=""/>
      <w:lvlJc w:val="left"/>
      <w:pPr>
        <w:tabs>
          <w:tab w:val="num" w:pos="1488"/>
        </w:tabs>
        <w:ind w:left="1488" w:hanging="360"/>
      </w:pPr>
      <w:rPr>
        <w:rFonts w:ascii="Symbol" w:hAnsi="Symbol" w:hint="default"/>
        <w:sz w:val="20"/>
      </w:rPr>
    </w:lvl>
    <w:lvl w:ilvl="1">
      <w:start w:val="1"/>
      <w:numFmt w:val="bullet"/>
      <w:lvlText w:val="o"/>
      <w:lvlJc w:val="left"/>
      <w:pPr>
        <w:tabs>
          <w:tab w:val="num" w:pos="2208"/>
        </w:tabs>
        <w:ind w:left="2208" w:hanging="360"/>
      </w:pPr>
      <w:rPr>
        <w:rFonts w:ascii="Courier New" w:hAnsi="Courier New" w:cs="Times New Roman" w:hint="default"/>
        <w:sz w:val="20"/>
      </w:rPr>
    </w:lvl>
    <w:lvl w:ilvl="2">
      <w:start w:val="1"/>
      <w:numFmt w:val="bullet"/>
      <w:lvlText w:val=""/>
      <w:lvlJc w:val="left"/>
      <w:pPr>
        <w:tabs>
          <w:tab w:val="num" w:pos="2928"/>
        </w:tabs>
        <w:ind w:left="2928" w:hanging="360"/>
      </w:pPr>
      <w:rPr>
        <w:rFonts w:ascii="Wingdings" w:hAnsi="Wingdings" w:hint="default"/>
        <w:sz w:val="20"/>
      </w:rPr>
    </w:lvl>
    <w:lvl w:ilvl="3">
      <w:start w:val="1"/>
      <w:numFmt w:val="bullet"/>
      <w:lvlText w:val=""/>
      <w:lvlJc w:val="left"/>
      <w:pPr>
        <w:tabs>
          <w:tab w:val="num" w:pos="3648"/>
        </w:tabs>
        <w:ind w:left="3648" w:hanging="360"/>
      </w:pPr>
      <w:rPr>
        <w:rFonts w:ascii="Wingdings" w:hAnsi="Wingdings" w:hint="default"/>
        <w:sz w:val="20"/>
      </w:rPr>
    </w:lvl>
    <w:lvl w:ilvl="4">
      <w:start w:val="1"/>
      <w:numFmt w:val="bullet"/>
      <w:lvlText w:val=""/>
      <w:lvlJc w:val="left"/>
      <w:pPr>
        <w:tabs>
          <w:tab w:val="num" w:pos="4368"/>
        </w:tabs>
        <w:ind w:left="4368" w:hanging="360"/>
      </w:pPr>
      <w:rPr>
        <w:rFonts w:ascii="Wingdings" w:hAnsi="Wingdings" w:hint="default"/>
        <w:sz w:val="20"/>
      </w:rPr>
    </w:lvl>
    <w:lvl w:ilvl="5">
      <w:start w:val="1"/>
      <w:numFmt w:val="bullet"/>
      <w:lvlText w:val=""/>
      <w:lvlJc w:val="left"/>
      <w:pPr>
        <w:tabs>
          <w:tab w:val="num" w:pos="5088"/>
        </w:tabs>
        <w:ind w:left="5088" w:hanging="360"/>
      </w:pPr>
      <w:rPr>
        <w:rFonts w:ascii="Wingdings" w:hAnsi="Wingdings" w:hint="default"/>
        <w:sz w:val="20"/>
      </w:rPr>
    </w:lvl>
    <w:lvl w:ilvl="6">
      <w:start w:val="1"/>
      <w:numFmt w:val="bullet"/>
      <w:lvlText w:val=""/>
      <w:lvlJc w:val="left"/>
      <w:pPr>
        <w:tabs>
          <w:tab w:val="num" w:pos="5808"/>
        </w:tabs>
        <w:ind w:left="5808" w:hanging="360"/>
      </w:pPr>
      <w:rPr>
        <w:rFonts w:ascii="Wingdings" w:hAnsi="Wingdings" w:hint="default"/>
        <w:sz w:val="20"/>
      </w:rPr>
    </w:lvl>
    <w:lvl w:ilvl="7">
      <w:start w:val="1"/>
      <w:numFmt w:val="bullet"/>
      <w:lvlText w:val=""/>
      <w:lvlJc w:val="left"/>
      <w:pPr>
        <w:tabs>
          <w:tab w:val="num" w:pos="6528"/>
        </w:tabs>
        <w:ind w:left="6528" w:hanging="360"/>
      </w:pPr>
      <w:rPr>
        <w:rFonts w:ascii="Wingdings" w:hAnsi="Wingdings" w:hint="default"/>
        <w:sz w:val="20"/>
      </w:rPr>
    </w:lvl>
    <w:lvl w:ilvl="8">
      <w:start w:val="1"/>
      <w:numFmt w:val="bullet"/>
      <w:lvlText w:val=""/>
      <w:lvlJc w:val="left"/>
      <w:pPr>
        <w:tabs>
          <w:tab w:val="num" w:pos="7248"/>
        </w:tabs>
        <w:ind w:left="7248" w:hanging="360"/>
      </w:pPr>
      <w:rPr>
        <w:rFonts w:ascii="Wingdings" w:hAnsi="Wingdings" w:hint="default"/>
        <w:sz w:val="20"/>
      </w:rPr>
    </w:lvl>
  </w:abstractNum>
  <w:abstractNum w:abstractNumId="3" w15:restartNumberingAfterBreak="0">
    <w:nsid w:val="10E7198B"/>
    <w:multiLevelType w:val="hybridMultilevel"/>
    <w:tmpl w:val="49C0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F7952"/>
    <w:multiLevelType w:val="multilevel"/>
    <w:tmpl w:val="3D66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FB5EA9"/>
    <w:multiLevelType w:val="multilevel"/>
    <w:tmpl w:val="6BC8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5938DB"/>
    <w:multiLevelType w:val="hybridMultilevel"/>
    <w:tmpl w:val="E2A8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56492"/>
    <w:multiLevelType w:val="hybridMultilevel"/>
    <w:tmpl w:val="F64A3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9337C9"/>
    <w:multiLevelType w:val="multilevel"/>
    <w:tmpl w:val="8F52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A12C00"/>
    <w:multiLevelType w:val="hybridMultilevel"/>
    <w:tmpl w:val="F2403CDC"/>
    <w:lvl w:ilvl="0" w:tplc="B09852D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E2BFD"/>
    <w:multiLevelType w:val="hybridMultilevel"/>
    <w:tmpl w:val="8828D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E75773"/>
    <w:multiLevelType w:val="hybridMultilevel"/>
    <w:tmpl w:val="290C1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EB37AB"/>
    <w:multiLevelType w:val="multilevel"/>
    <w:tmpl w:val="A4F4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D6726D"/>
    <w:multiLevelType w:val="hybridMultilevel"/>
    <w:tmpl w:val="1EE6B3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388B5FFA"/>
    <w:multiLevelType w:val="hybridMultilevel"/>
    <w:tmpl w:val="A6F48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FC05DB"/>
    <w:multiLevelType w:val="hybridMultilevel"/>
    <w:tmpl w:val="8DEE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B76AD"/>
    <w:multiLevelType w:val="multilevel"/>
    <w:tmpl w:val="4DAA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966EBE"/>
    <w:multiLevelType w:val="hybridMultilevel"/>
    <w:tmpl w:val="5784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6133D"/>
    <w:multiLevelType w:val="hybridMultilevel"/>
    <w:tmpl w:val="6B66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035B6"/>
    <w:multiLevelType w:val="hybridMultilevel"/>
    <w:tmpl w:val="99865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A0FF9"/>
    <w:multiLevelType w:val="hybridMultilevel"/>
    <w:tmpl w:val="D18EE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74B2A63"/>
    <w:multiLevelType w:val="hybridMultilevel"/>
    <w:tmpl w:val="C4AE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92E14"/>
    <w:multiLevelType w:val="multilevel"/>
    <w:tmpl w:val="CCAA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28230D"/>
    <w:multiLevelType w:val="multilevel"/>
    <w:tmpl w:val="C5C22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B31341"/>
    <w:multiLevelType w:val="hybridMultilevel"/>
    <w:tmpl w:val="B29ED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76E27EE"/>
    <w:multiLevelType w:val="hybridMultilevel"/>
    <w:tmpl w:val="2794DB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D80162"/>
    <w:multiLevelType w:val="hybridMultilevel"/>
    <w:tmpl w:val="542A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252963"/>
    <w:multiLevelType w:val="hybridMultilevel"/>
    <w:tmpl w:val="3BFA4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93602E"/>
    <w:multiLevelType w:val="hybridMultilevel"/>
    <w:tmpl w:val="FEF0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42E6F"/>
    <w:multiLevelType w:val="multilevel"/>
    <w:tmpl w:val="3186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A24D2D"/>
    <w:multiLevelType w:val="hybridMultilevel"/>
    <w:tmpl w:val="1A3C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DC7711"/>
    <w:multiLevelType w:val="hybridMultilevel"/>
    <w:tmpl w:val="1E2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AA0EAE"/>
    <w:multiLevelType w:val="hybridMultilevel"/>
    <w:tmpl w:val="D9A64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1F1318"/>
    <w:multiLevelType w:val="hybridMultilevel"/>
    <w:tmpl w:val="6E3C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21"/>
  </w:num>
  <w:num w:numId="4">
    <w:abstractNumId w:val="15"/>
  </w:num>
  <w:num w:numId="5">
    <w:abstractNumId w:val="18"/>
  </w:num>
  <w:num w:numId="6">
    <w:abstractNumId w:val="31"/>
  </w:num>
  <w:num w:numId="7">
    <w:abstractNumId w:val="1"/>
  </w:num>
  <w:num w:numId="8">
    <w:abstractNumId w:val="15"/>
  </w:num>
  <w:num w:numId="9">
    <w:abstractNumId w:val="2"/>
  </w:num>
  <w:num w:numId="10">
    <w:abstractNumId w:val="14"/>
  </w:num>
  <w:num w:numId="11">
    <w:abstractNumId w:val="10"/>
  </w:num>
  <w:num w:numId="12">
    <w:abstractNumId w:val="24"/>
  </w:num>
  <w:num w:numId="13">
    <w:abstractNumId w:val="11"/>
  </w:num>
  <w:num w:numId="14">
    <w:abstractNumId w:val="13"/>
  </w:num>
  <w:num w:numId="15">
    <w:abstractNumId w:val="24"/>
  </w:num>
  <w:num w:numId="16">
    <w:abstractNumId w:val="30"/>
  </w:num>
  <w:num w:numId="17">
    <w:abstractNumId w:val="17"/>
  </w:num>
  <w:num w:numId="18">
    <w:abstractNumId w:val="9"/>
  </w:num>
  <w:num w:numId="19">
    <w:abstractNumId w:val="12"/>
  </w:num>
  <w:num w:numId="20">
    <w:abstractNumId w:val="16"/>
  </w:num>
  <w:num w:numId="21">
    <w:abstractNumId w:val="22"/>
  </w:num>
  <w:num w:numId="22">
    <w:abstractNumId w:val="29"/>
  </w:num>
  <w:num w:numId="23">
    <w:abstractNumId w:val="27"/>
  </w:num>
  <w:num w:numId="24">
    <w:abstractNumId w:val="5"/>
  </w:num>
  <w:num w:numId="25">
    <w:abstractNumId w:val="8"/>
  </w:num>
  <w:num w:numId="26">
    <w:abstractNumId w:val="4"/>
  </w:num>
  <w:num w:numId="27">
    <w:abstractNumId w:val="3"/>
  </w:num>
  <w:num w:numId="28">
    <w:abstractNumId w:val="0"/>
  </w:num>
  <w:num w:numId="29">
    <w:abstractNumId w:val="20"/>
  </w:num>
  <w:num w:numId="30">
    <w:abstractNumId w:val="32"/>
  </w:num>
  <w:num w:numId="31">
    <w:abstractNumId w:val="6"/>
  </w:num>
  <w:num w:numId="32">
    <w:abstractNumId w:val="19"/>
  </w:num>
  <w:num w:numId="33">
    <w:abstractNumId w:val="7"/>
  </w:num>
  <w:num w:numId="34">
    <w:abstractNumId w:val="28"/>
  </w:num>
  <w:num w:numId="35">
    <w:abstractNumId w:val="2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bordersDoNotSurroundHeader/>
  <w:bordersDoNotSurroundFooter/>
  <w:attachedTemplate r:id="rId1"/>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29"/>
    <w:rsid w:val="000068B9"/>
    <w:rsid w:val="0001285C"/>
    <w:rsid w:val="000141E1"/>
    <w:rsid w:val="0002460A"/>
    <w:rsid w:val="000266D5"/>
    <w:rsid w:val="00034F4B"/>
    <w:rsid w:val="00041E9D"/>
    <w:rsid w:val="00051AEE"/>
    <w:rsid w:val="0005661F"/>
    <w:rsid w:val="00060C17"/>
    <w:rsid w:val="00065DB6"/>
    <w:rsid w:val="000709BE"/>
    <w:rsid w:val="000729F4"/>
    <w:rsid w:val="000735A5"/>
    <w:rsid w:val="00076B79"/>
    <w:rsid w:val="00083B72"/>
    <w:rsid w:val="00086AE5"/>
    <w:rsid w:val="00087C14"/>
    <w:rsid w:val="00096C9D"/>
    <w:rsid w:val="000A3D8F"/>
    <w:rsid w:val="000B0CCE"/>
    <w:rsid w:val="000B4FA9"/>
    <w:rsid w:val="000B56D8"/>
    <w:rsid w:val="000B6650"/>
    <w:rsid w:val="000B7C55"/>
    <w:rsid w:val="000C19E6"/>
    <w:rsid w:val="000D3DB5"/>
    <w:rsid w:val="000D53AE"/>
    <w:rsid w:val="000F69D6"/>
    <w:rsid w:val="00106397"/>
    <w:rsid w:val="0011701C"/>
    <w:rsid w:val="00126B07"/>
    <w:rsid w:val="00130004"/>
    <w:rsid w:val="00132975"/>
    <w:rsid w:val="00136AD5"/>
    <w:rsid w:val="00141F71"/>
    <w:rsid w:val="00143140"/>
    <w:rsid w:val="0014777B"/>
    <w:rsid w:val="00157235"/>
    <w:rsid w:val="00162A07"/>
    <w:rsid w:val="00162CC0"/>
    <w:rsid w:val="00175F1B"/>
    <w:rsid w:val="00176141"/>
    <w:rsid w:val="00184B50"/>
    <w:rsid w:val="001863B2"/>
    <w:rsid w:val="00190C61"/>
    <w:rsid w:val="001A5577"/>
    <w:rsid w:val="001A680D"/>
    <w:rsid w:val="001B6FD5"/>
    <w:rsid w:val="001B7C30"/>
    <w:rsid w:val="001C6871"/>
    <w:rsid w:val="001C7E6D"/>
    <w:rsid w:val="001C7EBB"/>
    <w:rsid w:val="001D41D0"/>
    <w:rsid w:val="001D4C22"/>
    <w:rsid w:val="00203006"/>
    <w:rsid w:val="002118A9"/>
    <w:rsid w:val="00211952"/>
    <w:rsid w:val="0022312A"/>
    <w:rsid w:val="002234E0"/>
    <w:rsid w:val="00226368"/>
    <w:rsid w:val="00237E07"/>
    <w:rsid w:val="00242F1C"/>
    <w:rsid w:val="0025049C"/>
    <w:rsid w:val="00251D7E"/>
    <w:rsid w:val="002606D8"/>
    <w:rsid w:val="00277C47"/>
    <w:rsid w:val="00284ACB"/>
    <w:rsid w:val="00290F3B"/>
    <w:rsid w:val="002B7E4D"/>
    <w:rsid w:val="002E1EC1"/>
    <w:rsid w:val="002E3D80"/>
    <w:rsid w:val="002E76DC"/>
    <w:rsid w:val="002F0367"/>
    <w:rsid w:val="002F7C44"/>
    <w:rsid w:val="00310CBF"/>
    <w:rsid w:val="0031514E"/>
    <w:rsid w:val="00322C99"/>
    <w:rsid w:val="00326537"/>
    <w:rsid w:val="00333719"/>
    <w:rsid w:val="0033720E"/>
    <w:rsid w:val="003448CE"/>
    <w:rsid w:val="00344EC8"/>
    <w:rsid w:val="003674DC"/>
    <w:rsid w:val="003709AB"/>
    <w:rsid w:val="003715B3"/>
    <w:rsid w:val="003851FD"/>
    <w:rsid w:val="00391207"/>
    <w:rsid w:val="003B7448"/>
    <w:rsid w:val="003C0BF6"/>
    <w:rsid w:val="003C1FEF"/>
    <w:rsid w:val="003D4204"/>
    <w:rsid w:val="003D53F8"/>
    <w:rsid w:val="003E00D2"/>
    <w:rsid w:val="003E08C2"/>
    <w:rsid w:val="003E75E8"/>
    <w:rsid w:val="003F2381"/>
    <w:rsid w:val="003F4B29"/>
    <w:rsid w:val="004007E4"/>
    <w:rsid w:val="004018E1"/>
    <w:rsid w:val="00404E8E"/>
    <w:rsid w:val="004057E6"/>
    <w:rsid w:val="004108E5"/>
    <w:rsid w:val="00412227"/>
    <w:rsid w:val="004214ED"/>
    <w:rsid w:val="00421884"/>
    <w:rsid w:val="004250B7"/>
    <w:rsid w:val="00431684"/>
    <w:rsid w:val="004333B8"/>
    <w:rsid w:val="00433FE7"/>
    <w:rsid w:val="00441EE4"/>
    <w:rsid w:val="00444777"/>
    <w:rsid w:val="00446E1D"/>
    <w:rsid w:val="00465E79"/>
    <w:rsid w:val="004678BD"/>
    <w:rsid w:val="0047779F"/>
    <w:rsid w:val="00486D70"/>
    <w:rsid w:val="00490CE0"/>
    <w:rsid w:val="00491F87"/>
    <w:rsid w:val="004925B4"/>
    <w:rsid w:val="00495AF2"/>
    <w:rsid w:val="004B79B6"/>
    <w:rsid w:val="004D0748"/>
    <w:rsid w:val="004E47F3"/>
    <w:rsid w:val="004F4552"/>
    <w:rsid w:val="004F663D"/>
    <w:rsid w:val="00526BF8"/>
    <w:rsid w:val="00531692"/>
    <w:rsid w:val="00533DA1"/>
    <w:rsid w:val="00534A0A"/>
    <w:rsid w:val="005529FF"/>
    <w:rsid w:val="00554802"/>
    <w:rsid w:val="00560801"/>
    <w:rsid w:val="00565993"/>
    <w:rsid w:val="00570BE7"/>
    <w:rsid w:val="005716DB"/>
    <w:rsid w:val="00571D37"/>
    <w:rsid w:val="00571F64"/>
    <w:rsid w:val="00574441"/>
    <w:rsid w:val="005829BD"/>
    <w:rsid w:val="00582FE1"/>
    <w:rsid w:val="00587FD3"/>
    <w:rsid w:val="00594847"/>
    <w:rsid w:val="005A0AE4"/>
    <w:rsid w:val="005D42A9"/>
    <w:rsid w:val="005D5C04"/>
    <w:rsid w:val="005E0E12"/>
    <w:rsid w:val="005E2BD9"/>
    <w:rsid w:val="005F2B3B"/>
    <w:rsid w:val="00602E6B"/>
    <w:rsid w:val="0060304C"/>
    <w:rsid w:val="00616EA8"/>
    <w:rsid w:val="006205EC"/>
    <w:rsid w:val="00622351"/>
    <w:rsid w:val="00637FD1"/>
    <w:rsid w:val="006500F6"/>
    <w:rsid w:val="00651003"/>
    <w:rsid w:val="00655C5F"/>
    <w:rsid w:val="006563D7"/>
    <w:rsid w:val="00656D41"/>
    <w:rsid w:val="00662EED"/>
    <w:rsid w:val="0067011E"/>
    <w:rsid w:val="0067171C"/>
    <w:rsid w:val="00692BAF"/>
    <w:rsid w:val="0069357F"/>
    <w:rsid w:val="00693CF4"/>
    <w:rsid w:val="006B317F"/>
    <w:rsid w:val="006B50BF"/>
    <w:rsid w:val="006C705E"/>
    <w:rsid w:val="006E430B"/>
    <w:rsid w:val="006F0B99"/>
    <w:rsid w:val="0073417D"/>
    <w:rsid w:val="0074168B"/>
    <w:rsid w:val="007509A9"/>
    <w:rsid w:val="00760449"/>
    <w:rsid w:val="00762376"/>
    <w:rsid w:val="00762796"/>
    <w:rsid w:val="00764695"/>
    <w:rsid w:val="00767BF2"/>
    <w:rsid w:val="00776105"/>
    <w:rsid w:val="0077613F"/>
    <w:rsid w:val="00776379"/>
    <w:rsid w:val="0078764A"/>
    <w:rsid w:val="007A1467"/>
    <w:rsid w:val="007B091E"/>
    <w:rsid w:val="007B1B50"/>
    <w:rsid w:val="007C0018"/>
    <w:rsid w:val="007C21AE"/>
    <w:rsid w:val="007C3870"/>
    <w:rsid w:val="007D79BA"/>
    <w:rsid w:val="007E07A0"/>
    <w:rsid w:val="007E4EC0"/>
    <w:rsid w:val="007E7714"/>
    <w:rsid w:val="007F2279"/>
    <w:rsid w:val="007F46FE"/>
    <w:rsid w:val="008027D0"/>
    <w:rsid w:val="0080507F"/>
    <w:rsid w:val="00814F60"/>
    <w:rsid w:val="0083353A"/>
    <w:rsid w:val="00836BEA"/>
    <w:rsid w:val="00837999"/>
    <w:rsid w:val="00841EF9"/>
    <w:rsid w:val="00842D33"/>
    <w:rsid w:val="00844B11"/>
    <w:rsid w:val="00847CB0"/>
    <w:rsid w:val="008665EC"/>
    <w:rsid w:val="0086671D"/>
    <w:rsid w:val="008747E6"/>
    <w:rsid w:val="00882C4F"/>
    <w:rsid w:val="0088567F"/>
    <w:rsid w:val="00885699"/>
    <w:rsid w:val="008874FF"/>
    <w:rsid w:val="00896CC8"/>
    <w:rsid w:val="008A1ABD"/>
    <w:rsid w:val="008A49D6"/>
    <w:rsid w:val="008A7A52"/>
    <w:rsid w:val="008B4D06"/>
    <w:rsid w:val="008C24B3"/>
    <w:rsid w:val="008C7B39"/>
    <w:rsid w:val="008D14C1"/>
    <w:rsid w:val="008D42B1"/>
    <w:rsid w:val="008D6EEE"/>
    <w:rsid w:val="008E0A42"/>
    <w:rsid w:val="008E0DEC"/>
    <w:rsid w:val="008E10E7"/>
    <w:rsid w:val="008E4599"/>
    <w:rsid w:val="008E68D1"/>
    <w:rsid w:val="008E7883"/>
    <w:rsid w:val="008F1009"/>
    <w:rsid w:val="008F6E1A"/>
    <w:rsid w:val="00903BD8"/>
    <w:rsid w:val="00903C8C"/>
    <w:rsid w:val="009052F9"/>
    <w:rsid w:val="00912750"/>
    <w:rsid w:val="009143F0"/>
    <w:rsid w:val="0091621A"/>
    <w:rsid w:val="00922F1A"/>
    <w:rsid w:val="00934CCE"/>
    <w:rsid w:val="00943E09"/>
    <w:rsid w:val="0094526C"/>
    <w:rsid w:val="00962301"/>
    <w:rsid w:val="00963419"/>
    <w:rsid w:val="00975383"/>
    <w:rsid w:val="0097566F"/>
    <w:rsid w:val="00982C63"/>
    <w:rsid w:val="009914E3"/>
    <w:rsid w:val="00993DB2"/>
    <w:rsid w:val="00994153"/>
    <w:rsid w:val="009A10EC"/>
    <w:rsid w:val="009A504D"/>
    <w:rsid w:val="009A5818"/>
    <w:rsid w:val="009A6A31"/>
    <w:rsid w:val="009B325A"/>
    <w:rsid w:val="009B4D58"/>
    <w:rsid w:val="009B72C4"/>
    <w:rsid w:val="009C3909"/>
    <w:rsid w:val="009C4EDE"/>
    <w:rsid w:val="009C4F3A"/>
    <w:rsid w:val="009D2B99"/>
    <w:rsid w:val="009E0122"/>
    <w:rsid w:val="009F11E3"/>
    <w:rsid w:val="009F607A"/>
    <w:rsid w:val="009F7B4E"/>
    <w:rsid w:val="00A02EA9"/>
    <w:rsid w:val="00A03AFC"/>
    <w:rsid w:val="00A10FEC"/>
    <w:rsid w:val="00A1143D"/>
    <w:rsid w:val="00A11F83"/>
    <w:rsid w:val="00A162BC"/>
    <w:rsid w:val="00A27C7E"/>
    <w:rsid w:val="00A32355"/>
    <w:rsid w:val="00A45363"/>
    <w:rsid w:val="00A45DF2"/>
    <w:rsid w:val="00A6047E"/>
    <w:rsid w:val="00A61B29"/>
    <w:rsid w:val="00A74A4A"/>
    <w:rsid w:val="00A75572"/>
    <w:rsid w:val="00A84A06"/>
    <w:rsid w:val="00A93F9E"/>
    <w:rsid w:val="00A96FC1"/>
    <w:rsid w:val="00A97706"/>
    <w:rsid w:val="00AA1324"/>
    <w:rsid w:val="00AA297E"/>
    <w:rsid w:val="00AB5A4F"/>
    <w:rsid w:val="00AC26D7"/>
    <w:rsid w:val="00AC4ABB"/>
    <w:rsid w:val="00AD0E8E"/>
    <w:rsid w:val="00AD59D8"/>
    <w:rsid w:val="00AE39A8"/>
    <w:rsid w:val="00B004AA"/>
    <w:rsid w:val="00B010A5"/>
    <w:rsid w:val="00B03852"/>
    <w:rsid w:val="00B04230"/>
    <w:rsid w:val="00B0721A"/>
    <w:rsid w:val="00B23553"/>
    <w:rsid w:val="00B30DC4"/>
    <w:rsid w:val="00B47460"/>
    <w:rsid w:val="00B57F7C"/>
    <w:rsid w:val="00B679F9"/>
    <w:rsid w:val="00B67ECF"/>
    <w:rsid w:val="00B70EC0"/>
    <w:rsid w:val="00B7159B"/>
    <w:rsid w:val="00B8262A"/>
    <w:rsid w:val="00B8591C"/>
    <w:rsid w:val="00B93762"/>
    <w:rsid w:val="00BD13D2"/>
    <w:rsid w:val="00BD3882"/>
    <w:rsid w:val="00BE3DBB"/>
    <w:rsid w:val="00BF665A"/>
    <w:rsid w:val="00C03D04"/>
    <w:rsid w:val="00C05148"/>
    <w:rsid w:val="00C156BA"/>
    <w:rsid w:val="00C22C56"/>
    <w:rsid w:val="00C2438C"/>
    <w:rsid w:val="00C32EB6"/>
    <w:rsid w:val="00C37E0F"/>
    <w:rsid w:val="00C503F2"/>
    <w:rsid w:val="00C515C5"/>
    <w:rsid w:val="00C53972"/>
    <w:rsid w:val="00C560A3"/>
    <w:rsid w:val="00C56900"/>
    <w:rsid w:val="00C717DB"/>
    <w:rsid w:val="00C74094"/>
    <w:rsid w:val="00C87816"/>
    <w:rsid w:val="00CA2C14"/>
    <w:rsid w:val="00CA5327"/>
    <w:rsid w:val="00CC1003"/>
    <w:rsid w:val="00CC3AC3"/>
    <w:rsid w:val="00CD7720"/>
    <w:rsid w:val="00CE4799"/>
    <w:rsid w:val="00CE7C44"/>
    <w:rsid w:val="00CF01CB"/>
    <w:rsid w:val="00D00FB1"/>
    <w:rsid w:val="00D019E2"/>
    <w:rsid w:val="00D065E4"/>
    <w:rsid w:val="00D06B69"/>
    <w:rsid w:val="00D2071C"/>
    <w:rsid w:val="00D263B9"/>
    <w:rsid w:val="00D26405"/>
    <w:rsid w:val="00D40D74"/>
    <w:rsid w:val="00D471F4"/>
    <w:rsid w:val="00D636D7"/>
    <w:rsid w:val="00D658E0"/>
    <w:rsid w:val="00D70553"/>
    <w:rsid w:val="00D87CE9"/>
    <w:rsid w:val="00D90E70"/>
    <w:rsid w:val="00D928C1"/>
    <w:rsid w:val="00D93A0A"/>
    <w:rsid w:val="00DA18EE"/>
    <w:rsid w:val="00DA2659"/>
    <w:rsid w:val="00DA41FD"/>
    <w:rsid w:val="00DA58CF"/>
    <w:rsid w:val="00DB21F5"/>
    <w:rsid w:val="00DC5C6E"/>
    <w:rsid w:val="00DD7BB5"/>
    <w:rsid w:val="00DE5D33"/>
    <w:rsid w:val="00DF0D6C"/>
    <w:rsid w:val="00DF2528"/>
    <w:rsid w:val="00E01082"/>
    <w:rsid w:val="00E02DAF"/>
    <w:rsid w:val="00E05479"/>
    <w:rsid w:val="00E07FA4"/>
    <w:rsid w:val="00E21436"/>
    <w:rsid w:val="00E23108"/>
    <w:rsid w:val="00E2699B"/>
    <w:rsid w:val="00E4387F"/>
    <w:rsid w:val="00E43C61"/>
    <w:rsid w:val="00E55A80"/>
    <w:rsid w:val="00E55FEC"/>
    <w:rsid w:val="00E9728B"/>
    <w:rsid w:val="00EA60CF"/>
    <w:rsid w:val="00ED103E"/>
    <w:rsid w:val="00ED53BC"/>
    <w:rsid w:val="00ED5833"/>
    <w:rsid w:val="00ED5B0D"/>
    <w:rsid w:val="00EE1F02"/>
    <w:rsid w:val="00EE7750"/>
    <w:rsid w:val="00EF65B4"/>
    <w:rsid w:val="00F02DAD"/>
    <w:rsid w:val="00F055C4"/>
    <w:rsid w:val="00F0791E"/>
    <w:rsid w:val="00F13ACE"/>
    <w:rsid w:val="00F1614F"/>
    <w:rsid w:val="00F252C7"/>
    <w:rsid w:val="00F42253"/>
    <w:rsid w:val="00F46B32"/>
    <w:rsid w:val="00F5172D"/>
    <w:rsid w:val="00F64DBD"/>
    <w:rsid w:val="00F75808"/>
    <w:rsid w:val="00F80C57"/>
    <w:rsid w:val="00F921A1"/>
    <w:rsid w:val="00FA5DDD"/>
    <w:rsid w:val="00FB04ED"/>
    <w:rsid w:val="00FC103C"/>
    <w:rsid w:val="00FD5F54"/>
    <w:rsid w:val="00FD634C"/>
    <w:rsid w:val="00FE1B6A"/>
    <w:rsid w:val="00FE786A"/>
    <w:rsid w:val="00FE7A4E"/>
    <w:rsid w:val="00FF089F"/>
    <w:rsid w:val="00FF4E66"/>
    <w:rsid w:val="00FF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46B9FDE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13ACE"/>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009DD9" w:themeColor="accent2"/>
      <w:sz w:val="36"/>
      <w:szCs w:val="36"/>
    </w:rPr>
  </w:style>
  <w:style w:type="paragraph" w:styleId="Heading3">
    <w:name w:val="heading 3"/>
    <w:basedOn w:val="Normal"/>
    <w:next w:val="Normal"/>
    <w:link w:val="Heading3Char"/>
    <w:uiPriority w:val="9"/>
    <w:semiHidden/>
    <w:qFormat/>
    <w:rsid w:val="00421884"/>
    <w:pPr>
      <w:keepNext/>
      <w:keepLines/>
      <w:spacing w:before="40" w:after="0"/>
      <w:outlineLvl w:val="2"/>
    </w:pPr>
    <w:rPr>
      <w:rFonts w:asciiTheme="majorHAnsi" w:eastAsiaTheme="majorEastAsia" w:hAnsiTheme="majorHAnsi" w:cstheme="majorBidi"/>
      <w:color w:val="0D395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1B74BC" w:themeColor="accent1"/>
      <w:sz w:val="56"/>
      <w:szCs w:val="48"/>
    </w:rPr>
  </w:style>
  <w:style w:type="character" w:customStyle="1" w:styleId="Heading2Char">
    <w:name w:val="Heading 2 Char"/>
    <w:basedOn w:val="DefaultParagraphFont"/>
    <w:link w:val="Heading2"/>
    <w:uiPriority w:val="1"/>
    <w:semiHidden/>
    <w:rsid w:val="007A1467"/>
    <w:rPr>
      <w:rFonts w:cs="Georgia"/>
      <w:i/>
      <w:color w:val="009DD9" w:themeColor="accent2"/>
      <w:sz w:val="36"/>
      <w:szCs w:val="36"/>
    </w:rPr>
  </w:style>
  <w:style w:type="paragraph" w:styleId="ListParagraph">
    <w:name w:val="List Paragraph"/>
    <w:basedOn w:val="Normal"/>
    <w:uiPriority w:val="34"/>
    <w:qFormat/>
    <w:rPr>
      <w:rFonts w:ascii="Times New Roman" w:hAnsi="Times New Roman"/>
      <w:sz w:val="24"/>
      <w:szCs w:val="24"/>
    </w:rPr>
  </w:style>
  <w:style w:type="character" w:customStyle="1" w:styleId="UnresolvedMention1">
    <w:name w:val="Unresolved Mention1"/>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E55A80"/>
    <w:rPr>
      <w:rFonts w:ascii="Constantia" w:hAnsi="Constantia" w:cs="Georgia"/>
      <w:b/>
      <w:i/>
      <w:color w:val="FFFFFF"/>
      <w:spacing w:val="-8"/>
      <w:sz w:val="24"/>
      <w:szCs w:val="28"/>
      <w:shd w:val="clear" w:color="auto" w:fill="595959" w:themeFill="text1" w:themeFillTint="A6"/>
    </w:rPr>
  </w:style>
  <w:style w:type="paragraph" w:styleId="Header">
    <w:name w:val="header"/>
    <w:basedOn w:val="Normal"/>
    <w:link w:val="HeaderChar"/>
    <w:uiPriority w:val="99"/>
    <w:semiHidden/>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qFormat/>
    <w:rsid w:val="00034F4B"/>
    <w:rPr>
      <w:i/>
      <w:iCs/>
    </w:rPr>
  </w:style>
  <w:style w:type="character" w:customStyle="1" w:styleId="Hashtag1">
    <w:name w:val="Hashtag1"/>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1B74BC" w:themeColor="accent1"/>
    </w:rPr>
  </w:style>
  <w:style w:type="paragraph" w:styleId="IntenseQuote">
    <w:name w:val="Intense Quote"/>
    <w:basedOn w:val="Normal"/>
    <w:next w:val="Normal"/>
    <w:link w:val="IntenseQuote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1B74BC" w:themeColor="accent1"/>
      <w:sz w:val="22"/>
      <w:szCs w:val="22"/>
    </w:rPr>
  </w:style>
  <w:style w:type="character" w:styleId="IntenseReference">
    <w:name w:val="Intense Reference"/>
    <w:basedOn w:val="DefaultParagraphFont"/>
    <w:uiPriority w:val="32"/>
    <w:semiHidden/>
    <w:rsid w:val="00034F4B"/>
    <w:rPr>
      <w:b/>
      <w:bCs/>
      <w:smallCaps/>
      <w:color w:val="1B74BC" w:themeColor="accent1"/>
      <w:spacing w:val="5"/>
    </w:rPr>
  </w:style>
  <w:style w:type="character" w:styleId="Strong">
    <w:name w:val="Strong"/>
    <w:basedOn w:val="DefaultParagraphFont"/>
    <w:uiPriority w:val="22"/>
    <w:semiHidden/>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semiHidden/>
    <w:rsid w:val="007C0018"/>
  </w:style>
  <w:style w:type="paragraph" w:styleId="Footer">
    <w:name w:val="footer"/>
    <w:basedOn w:val="Normal"/>
    <w:link w:val="FooterChar"/>
    <w:uiPriority w:val="99"/>
    <w:rsid w:val="00F921A1"/>
    <w:pPr>
      <w:tabs>
        <w:tab w:val="center" w:pos="4680"/>
        <w:tab w:val="right" w:pos="9360"/>
      </w:tabs>
      <w:spacing w:after="0"/>
    </w:pPr>
  </w:style>
  <w:style w:type="character" w:customStyle="1" w:styleId="FooterChar">
    <w:name w:val="Footer Char"/>
    <w:basedOn w:val="DefaultParagraphFont"/>
    <w:link w:val="Footer"/>
    <w:uiPriority w:val="99"/>
    <w:rsid w:val="007C0018"/>
  </w:style>
  <w:style w:type="table" w:styleId="TableGrid">
    <w:name w:val="Table Grid"/>
    <w:basedOn w:val="Table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uiPriority w:val="1"/>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DateChar">
    <w:name w:val="Date Char"/>
    <w:basedOn w:val="DefaultParagraphFont"/>
    <w:link w:val="Date"/>
    <w:uiPriority w:val="99"/>
    <w:rsid w:val="00B004AA"/>
    <w:rPr>
      <w:rFonts w:ascii="Constantia" w:hAnsi="Constantia" w:cs="Georgia"/>
      <w:color w:val="0075A2" w:themeColor="accent2" w:themeShade="BF"/>
      <w:sz w:val="24"/>
      <w:szCs w:val="24"/>
    </w:rPr>
  </w:style>
  <w:style w:type="paragraph" w:customStyle="1" w:styleId="ContactDetails">
    <w:name w:val="Contact Details"/>
    <w:basedOn w:val="Normal"/>
    <w:uiPriority w:val="1"/>
    <w:qFormat/>
    <w:rsid w:val="00C503F2"/>
    <w:pPr>
      <w:shd w:val="clear" w:color="auto" w:fill="1B74BC" w:themeFill="accent1"/>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001F5F" w:themeColor="text2"/>
      <w:sz w:val="24"/>
      <w:szCs w:val="20"/>
    </w:rPr>
  </w:style>
  <w:style w:type="paragraph" w:customStyle="1" w:styleId="PhoneEmailWeb">
    <w:name w:val="PhoneEmailWeb"/>
    <w:basedOn w:val="ContactDetails"/>
    <w:uiPriority w:val="1"/>
    <w:qFormat/>
    <w:rsid w:val="00C503F2"/>
    <w:pPr>
      <w:shd w:val="clear" w:color="auto" w:fill="0075A2" w:themeFill="accent2" w:themeFillShade="BF"/>
    </w:pPr>
  </w:style>
  <w:style w:type="paragraph" w:styleId="BalloonText">
    <w:name w:val="Balloon Text"/>
    <w:basedOn w:val="Normal"/>
    <w:link w:val="BalloonTextChar"/>
    <w:uiPriority w:val="99"/>
    <w:semiHidden/>
    <w:unhideWhenUsed/>
    <w:rsid w:val="003F4B2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B29"/>
    <w:rPr>
      <w:rFonts w:ascii="Segoe UI" w:hAnsi="Segoe UI" w:cs="Segoe UI"/>
      <w:sz w:val="18"/>
      <w:szCs w:val="18"/>
    </w:rPr>
  </w:style>
  <w:style w:type="character" w:styleId="Hyperlink">
    <w:name w:val="Hyperlink"/>
    <w:basedOn w:val="DefaultParagraphFont"/>
    <w:uiPriority w:val="99"/>
    <w:unhideWhenUsed/>
    <w:rsid w:val="003F4B29"/>
    <w:rPr>
      <w:color w:val="0046AD"/>
      <w:u w:val="single"/>
    </w:rPr>
  </w:style>
  <w:style w:type="character" w:styleId="CommentReference">
    <w:name w:val="annotation reference"/>
    <w:basedOn w:val="DefaultParagraphFont"/>
    <w:uiPriority w:val="99"/>
    <w:semiHidden/>
    <w:unhideWhenUsed/>
    <w:rsid w:val="002E1EC1"/>
    <w:rPr>
      <w:sz w:val="16"/>
      <w:szCs w:val="16"/>
    </w:rPr>
  </w:style>
  <w:style w:type="paragraph" w:styleId="CommentText">
    <w:name w:val="annotation text"/>
    <w:basedOn w:val="Normal"/>
    <w:link w:val="CommentTextChar"/>
    <w:uiPriority w:val="99"/>
    <w:semiHidden/>
    <w:unhideWhenUsed/>
    <w:rsid w:val="002E1EC1"/>
    <w:rPr>
      <w:sz w:val="20"/>
      <w:szCs w:val="20"/>
    </w:rPr>
  </w:style>
  <w:style w:type="character" w:customStyle="1" w:styleId="CommentTextChar">
    <w:name w:val="Comment Text Char"/>
    <w:basedOn w:val="DefaultParagraphFont"/>
    <w:link w:val="CommentText"/>
    <w:uiPriority w:val="99"/>
    <w:semiHidden/>
    <w:rsid w:val="002E1EC1"/>
    <w:rPr>
      <w:rFonts w:cs="Georgia"/>
      <w:sz w:val="20"/>
      <w:szCs w:val="20"/>
    </w:rPr>
  </w:style>
  <w:style w:type="paragraph" w:styleId="CommentSubject">
    <w:name w:val="annotation subject"/>
    <w:basedOn w:val="CommentText"/>
    <w:next w:val="CommentText"/>
    <w:link w:val="CommentSubjectChar"/>
    <w:uiPriority w:val="99"/>
    <w:semiHidden/>
    <w:unhideWhenUsed/>
    <w:rsid w:val="002E1EC1"/>
    <w:rPr>
      <w:b/>
      <w:bCs/>
    </w:rPr>
  </w:style>
  <w:style w:type="character" w:customStyle="1" w:styleId="CommentSubjectChar">
    <w:name w:val="Comment Subject Char"/>
    <w:basedOn w:val="CommentTextChar"/>
    <w:link w:val="CommentSubject"/>
    <w:uiPriority w:val="99"/>
    <w:semiHidden/>
    <w:rsid w:val="002E1EC1"/>
    <w:rPr>
      <w:rFonts w:cs="Georgia"/>
      <w:b/>
      <w:bCs/>
      <w:sz w:val="20"/>
      <w:szCs w:val="20"/>
    </w:rPr>
  </w:style>
  <w:style w:type="character" w:styleId="FollowedHyperlink">
    <w:name w:val="FollowedHyperlink"/>
    <w:basedOn w:val="DefaultParagraphFont"/>
    <w:uiPriority w:val="99"/>
    <w:semiHidden/>
    <w:unhideWhenUsed/>
    <w:rsid w:val="00762796"/>
    <w:rPr>
      <w:color w:val="85DFD0" w:themeColor="followedHyperlink"/>
      <w:u w:val="single"/>
    </w:rPr>
  </w:style>
  <w:style w:type="character" w:styleId="UnresolvedMention">
    <w:name w:val="Unresolved Mention"/>
    <w:basedOn w:val="DefaultParagraphFont"/>
    <w:uiPriority w:val="99"/>
    <w:semiHidden/>
    <w:unhideWhenUsed/>
    <w:rsid w:val="00076B79"/>
    <w:rPr>
      <w:color w:val="605E5C"/>
      <w:shd w:val="clear" w:color="auto" w:fill="E1DFDD"/>
    </w:rPr>
  </w:style>
  <w:style w:type="character" w:customStyle="1" w:styleId="Heading3Char">
    <w:name w:val="Heading 3 Char"/>
    <w:basedOn w:val="DefaultParagraphFont"/>
    <w:link w:val="Heading3"/>
    <w:uiPriority w:val="9"/>
    <w:semiHidden/>
    <w:rsid w:val="00421884"/>
    <w:rPr>
      <w:rFonts w:asciiTheme="majorHAnsi" w:eastAsiaTheme="majorEastAsia" w:hAnsiTheme="majorHAnsi" w:cstheme="majorBidi"/>
      <w:color w:val="0D395D" w:themeColor="accent1" w:themeShade="7F"/>
      <w:sz w:val="24"/>
      <w:szCs w:val="24"/>
    </w:rPr>
  </w:style>
  <w:style w:type="paragraph" w:styleId="NormalWeb">
    <w:name w:val="Normal (Web)"/>
    <w:basedOn w:val="Normal"/>
    <w:uiPriority w:val="99"/>
    <w:unhideWhenUsed/>
    <w:rsid w:val="00637FD1"/>
    <w:pPr>
      <w:widowControl/>
      <w:autoSpaceDE/>
      <w:autoSpaceDN/>
      <w:adjustRightInd/>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9F607A"/>
    <w:pPr>
      <w:spacing w:after="0"/>
    </w:pPr>
    <w:rPr>
      <w:rFonts w:cs="Georgia"/>
    </w:rPr>
  </w:style>
  <w:style w:type="paragraph" w:customStyle="1" w:styleId="paragraph">
    <w:name w:val="paragraph"/>
    <w:basedOn w:val="Normal"/>
    <w:rsid w:val="00B8262A"/>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B8262A"/>
  </w:style>
  <w:style w:type="character" w:customStyle="1" w:styleId="eop">
    <w:name w:val="eop"/>
    <w:basedOn w:val="DefaultParagraphFont"/>
    <w:rsid w:val="00B8262A"/>
  </w:style>
  <w:style w:type="paragraph" w:customStyle="1" w:styleId="psindent0">
    <w:name w:val="ps_indent_0"/>
    <w:basedOn w:val="Normal"/>
    <w:rsid w:val="0002460A"/>
    <w:pPr>
      <w:widowControl/>
      <w:autoSpaceDE/>
      <w:autoSpaceDN/>
      <w:adjustRightInd/>
      <w:spacing w:before="240" w:after="240"/>
      <w:ind w:left="720"/>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01032">
      <w:bodyDiv w:val="1"/>
      <w:marLeft w:val="0"/>
      <w:marRight w:val="0"/>
      <w:marTop w:val="0"/>
      <w:marBottom w:val="0"/>
      <w:divBdr>
        <w:top w:val="none" w:sz="0" w:space="0" w:color="auto"/>
        <w:left w:val="none" w:sz="0" w:space="0" w:color="auto"/>
        <w:bottom w:val="none" w:sz="0" w:space="0" w:color="auto"/>
        <w:right w:val="none" w:sz="0" w:space="0" w:color="auto"/>
      </w:divBdr>
    </w:div>
    <w:div w:id="173543880">
      <w:bodyDiv w:val="1"/>
      <w:marLeft w:val="0"/>
      <w:marRight w:val="0"/>
      <w:marTop w:val="0"/>
      <w:marBottom w:val="0"/>
      <w:divBdr>
        <w:top w:val="none" w:sz="0" w:space="0" w:color="auto"/>
        <w:left w:val="none" w:sz="0" w:space="0" w:color="auto"/>
        <w:bottom w:val="none" w:sz="0" w:space="0" w:color="auto"/>
        <w:right w:val="none" w:sz="0" w:space="0" w:color="auto"/>
      </w:divBdr>
    </w:div>
    <w:div w:id="291400775">
      <w:bodyDiv w:val="1"/>
      <w:marLeft w:val="0"/>
      <w:marRight w:val="0"/>
      <w:marTop w:val="0"/>
      <w:marBottom w:val="0"/>
      <w:divBdr>
        <w:top w:val="none" w:sz="0" w:space="0" w:color="auto"/>
        <w:left w:val="none" w:sz="0" w:space="0" w:color="auto"/>
        <w:bottom w:val="none" w:sz="0" w:space="0" w:color="auto"/>
        <w:right w:val="none" w:sz="0" w:space="0" w:color="auto"/>
      </w:divBdr>
    </w:div>
    <w:div w:id="393698241">
      <w:bodyDiv w:val="1"/>
      <w:marLeft w:val="0"/>
      <w:marRight w:val="0"/>
      <w:marTop w:val="0"/>
      <w:marBottom w:val="0"/>
      <w:divBdr>
        <w:top w:val="none" w:sz="0" w:space="0" w:color="auto"/>
        <w:left w:val="none" w:sz="0" w:space="0" w:color="auto"/>
        <w:bottom w:val="none" w:sz="0" w:space="0" w:color="auto"/>
        <w:right w:val="none" w:sz="0" w:space="0" w:color="auto"/>
      </w:divBdr>
    </w:div>
    <w:div w:id="510950548">
      <w:bodyDiv w:val="1"/>
      <w:marLeft w:val="0"/>
      <w:marRight w:val="0"/>
      <w:marTop w:val="0"/>
      <w:marBottom w:val="0"/>
      <w:divBdr>
        <w:top w:val="none" w:sz="0" w:space="0" w:color="auto"/>
        <w:left w:val="none" w:sz="0" w:space="0" w:color="auto"/>
        <w:bottom w:val="none" w:sz="0" w:space="0" w:color="auto"/>
        <w:right w:val="none" w:sz="0" w:space="0" w:color="auto"/>
      </w:divBdr>
    </w:div>
    <w:div w:id="575630342">
      <w:bodyDiv w:val="1"/>
      <w:marLeft w:val="0"/>
      <w:marRight w:val="0"/>
      <w:marTop w:val="0"/>
      <w:marBottom w:val="0"/>
      <w:divBdr>
        <w:top w:val="none" w:sz="0" w:space="0" w:color="auto"/>
        <w:left w:val="none" w:sz="0" w:space="0" w:color="auto"/>
        <w:bottom w:val="none" w:sz="0" w:space="0" w:color="auto"/>
        <w:right w:val="none" w:sz="0" w:space="0" w:color="auto"/>
      </w:divBdr>
    </w:div>
    <w:div w:id="655911998">
      <w:bodyDiv w:val="1"/>
      <w:marLeft w:val="0"/>
      <w:marRight w:val="0"/>
      <w:marTop w:val="0"/>
      <w:marBottom w:val="0"/>
      <w:divBdr>
        <w:top w:val="none" w:sz="0" w:space="0" w:color="auto"/>
        <w:left w:val="none" w:sz="0" w:space="0" w:color="auto"/>
        <w:bottom w:val="none" w:sz="0" w:space="0" w:color="auto"/>
        <w:right w:val="none" w:sz="0" w:space="0" w:color="auto"/>
      </w:divBdr>
    </w:div>
    <w:div w:id="659892040">
      <w:bodyDiv w:val="1"/>
      <w:marLeft w:val="0"/>
      <w:marRight w:val="0"/>
      <w:marTop w:val="0"/>
      <w:marBottom w:val="0"/>
      <w:divBdr>
        <w:top w:val="none" w:sz="0" w:space="0" w:color="auto"/>
        <w:left w:val="none" w:sz="0" w:space="0" w:color="auto"/>
        <w:bottom w:val="none" w:sz="0" w:space="0" w:color="auto"/>
        <w:right w:val="none" w:sz="0" w:space="0" w:color="auto"/>
      </w:divBdr>
    </w:div>
    <w:div w:id="801266997">
      <w:bodyDiv w:val="1"/>
      <w:marLeft w:val="0"/>
      <w:marRight w:val="0"/>
      <w:marTop w:val="0"/>
      <w:marBottom w:val="0"/>
      <w:divBdr>
        <w:top w:val="none" w:sz="0" w:space="0" w:color="auto"/>
        <w:left w:val="none" w:sz="0" w:space="0" w:color="auto"/>
        <w:bottom w:val="none" w:sz="0" w:space="0" w:color="auto"/>
        <w:right w:val="none" w:sz="0" w:space="0" w:color="auto"/>
      </w:divBdr>
    </w:div>
    <w:div w:id="808741269">
      <w:bodyDiv w:val="1"/>
      <w:marLeft w:val="0"/>
      <w:marRight w:val="0"/>
      <w:marTop w:val="0"/>
      <w:marBottom w:val="0"/>
      <w:divBdr>
        <w:top w:val="none" w:sz="0" w:space="0" w:color="auto"/>
        <w:left w:val="none" w:sz="0" w:space="0" w:color="auto"/>
        <w:bottom w:val="none" w:sz="0" w:space="0" w:color="auto"/>
        <w:right w:val="none" w:sz="0" w:space="0" w:color="auto"/>
      </w:divBdr>
    </w:div>
    <w:div w:id="846597413">
      <w:bodyDiv w:val="1"/>
      <w:marLeft w:val="0"/>
      <w:marRight w:val="0"/>
      <w:marTop w:val="0"/>
      <w:marBottom w:val="0"/>
      <w:divBdr>
        <w:top w:val="none" w:sz="0" w:space="0" w:color="auto"/>
        <w:left w:val="none" w:sz="0" w:space="0" w:color="auto"/>
        <w:bottom w:val="none" w:sz="0" w:space="0" w:color="auto"/>
        <w:right w:val="none" w:sz="0" w:space="0" w:color="auto"/>
      </w:divBdr>
    </w:div>
    <w:div w:id="887760951">
      <w:bodyDiv w:val="1"/>
      <w:marLeft w:val="0"/>
      <w:marRight w:val="0"/>
      <w:marTop w:val="0"/>
      <w:marBottom w:val="0"/>
      <w:divBdr>
        <w:top w:val="none" w:sz="0" w:space="0" w:color="auto"/>
        <w:left w:val="none" w:sz="0" w:space="0" w:color="auto"/>
        <w:bottom w:val="none" w:sz="0" w:space="0" w:color="auto"/>
        <w:right w:val="none" w:sz="0" w:space="0" w:color="auto"/>
      </w:divBdr>
    </w:div>
    <w:div w:id="896816316">
      <w:bodyDiv w:val="1"/>
      <w:marLeft w:val="0"/>
      <w:marRight w:val="0"/>
      <w:marTop w:val="0"/>
      <w:marBottom w:val="0"/>
      <w:divBdr>
        <w:top w:val="none" w:sz="0" w:space="0" w:color="auto"/>
        <w:left w:val="none" w:sz="0" w:space="0" w:color="auto"/>
        <w:bottom w:val="none" w:sz="0" w:space="0" w:color="auto"/>
        <w:right w:val="none" w:sz="0" w:space="0" w:color="auto"/>
      </w:divBdr>
    </w:div>
    <w:div w:id="954022445">
      <w:bodyDiv w:val="1"/>
      <w:marLeft w:val="0"/>
      <w:marRight w:val="0"/>
      <w:marTop w:val="0"/>
      <w:marBottom w:val="0"/>
      <w:divBdr>
        <w:top w:val="none" w:sz="0" w:space="0" w:color="auto"/>
        <w:left w:val="none" w:sz="0" w:space="0" w:color="auto"/>
        <w:bottom w:val="none" w:sz="0" w:space="0" w:color="auto"/>
        <w:right w:val="none" w:sz="0" w:space="0" w:color="auto"/>
      </w:divBdr>
    </w:div>
    <w:div w:id="1037849843">
      <w:bodyDiv w:val="1"/>
      <w:marLeft w:val="0"/>
      <w:marRight w:val="0"/>
      <w:marTop w:val="0"/>
      <w:marBottom w:val="0"/>
      <w:divBdr>
        <w:top w:val="none" w:sz="0" w:space="0" w:color="auto"/>
        <w:left w:val="none" w:sz="0" w:space="0" w:color="auto"/>
        <w:bottom w:val="none" w:sz="0" w:space="0" w:color="auto"/>
        <w:right w:val="none" w:sz="0" w:space="0" w:color="auto"/>
      </w:divBdr>
      <w:divsChild>
        <w:div w:id="1187983289">
          <w:marLeft w:val="0"/>
          <w:marRight w:val="0"/>
          <w:marTop w:val="0"/>
          <w:marBottom w:val="0"/>
          <w:divBdr>
            <w:top w:val="none" w:sz="0" w:space="0" w:color="auto"/>
            <w:left w:val="none" w:sz="0" w:space="0" w:color="auto"/>
            <w:bottom w:val="none" w:sz="0" w:space="0" w:color="auto"/>
            <w:right w:val="none" w:sz="0" w:space="0" w:color="auto"/>
          </w:divBdr>
        </w:div>
        <w:div w:id="1777752409">
          <w:marLeft w:val="0"/>
          <w:marRight w:val="0"/>
          <w:marTop w:val="0"/>
          <w:marBottom w:val="0"/>
          <w:divBdr>
            <w:top w:val="none" w:sz="0" w:space="0" w:color="auto"/>
            <w:left w:val="none" w:sz="0" w:space="0" w:color="auto"/>
            <w:bottom w:val="none" w:sz="0" w:space="0" w:color="auto"/>
            <w:right w:val="none" w:sz="0" w:space="0" w:color="auto"/>
          </w:divBdr>
        </w:div>
      </w:divsChild>
    </w:div>
    <w:div w:id="1071149246">
      <w:bodyDiv w:val="1"/>
      <w:marLeft w:val="0"/>
      <w:marRight w:val="0"/>
      <w:marTop w:val="0"/>
      <w:marBottom w:val="0"/>
      <w:divBdr>
        <w:top w:val="none" w:sz="0" w:space="0" w:color="auto"/>
        <w:left w:val="none" w:sz="0" w:space="0" w:color="auto"/>
        <w:bottom w:val="none" w:sz="0" w:space="0" w:color="auto"/>
        <w:right w:val="none" w:sz="0" w:space="0" w:color="auto"/>
      </w:divBdr>
    </w:div>
    <w:div w:id="1082263506">
      <w:bodyDiv w:val="1"/>
      <w:marLeft w:val="0"/>
      <w:marRight w:val="0"/>
      <w:marTop w:val="0"/>
      <w:marBottom w:val="0"/>
      <w:divBdr>
        <w:top w:val="none" w:sz="0" w:space="0" w:color="auto"/>
        <w:left w:val="none" w:sz="0" w:space="0" w:color="auto"/>
        <w:bottom w:val="none" w:sz="0" w:space="0" w:color="auto"/>
        <w:right w:val="none" w:sz="0" w:space="0" w:color="auto"/>
      </w:divBdr>
    </w:div>
    <w:div w:id="1150944147">
      <w:bodyDiv w:val="1"/>
      <w:marLeft w:val="0"/>
      <w:marRight w:val="0"/>
      <w:marTop w:val="0"/>
      <w:marBottom w:val="0"/>
      <w:divBdr>
        <w:top w:val="none" w:sz="0" w:space="0" w:color="auto"/>
        <w:left w:val="none" w:sz="0" w:space="0" w:color="auto"/>
        <w:bottom w:val="none" w:sz="0" w:space="0" w:color="auto"/>
        <w:right w:val="none" w:sz="0" w:space="0" w:color="auto"/>
      </w:divBdr>
    </w:div>
    <w:div w:id="1357384376">
      <w:bodyDiv w:val="1"/>
      <w:marLeft w:val="0"/>
      <w:marRight w:val="0"/>
      <w:marTop w:val="0"/>
      <w:marBottom w:val="0"/>
      <w:divBdr>
        <w:top w:val="none" w:sz="0" w:space="0" w:color="auto"/>
        <w:left w:val="none" w:sz="0" w:space="0" w:color="auto"/>
        <w:bottom w:val="none" w:sz="0" w:space="0" w:color="auto"/>
        <w:right w:val="none" w:sz="0" w:space="0" w:color="auto"/>
      </w:divBdr>
    </w:div>
    <w:div w:id="1449857271">
      <w:bodyDiv w:val="1"/>
      <w:marLeft w:val="0"/>
      <w:marRight w:val="0"/>
      <w:marTop w:val="0"/>
      <w:marBottom w:val="0"/>
      <w:divBdr>
        <w:top w:val="none" w:sz="0" w:space="0" w:color="auto"/>
        <w:left w:val="none" w:sz="0" w:space="0" w:color="auto"/>
        <w:bottom w:val="none" w:sz="0" w:space="0" w:color="auto"/>
        <w:right w:val="none" w:sz="0" w:space="0" w:color="auto"/>
      </w:divBdr>
    </w:div>
    <w:div w:id="1483307834">
      <w:bodyDiv w:val="1"/>
      <w:marLeft w:val="0"/>
      <w:marRight w:val="0"/>
      <w:marTop w:val="0"/>
      <w:marBottom w:val="0"/>
      <w:divBdr>
        <w:top w:val="none" w:sz="0" w:space="0" w:color="auto"/>
        <w:left w:val="none" w:sz="0" w:space="0" w:color="auto"/>
        <w:bottom w:val="none" w:sz="0" w:space="0" w:color="auto"/>
        <w:right w:val="none" w:sz="0" w:space="0" w:color="auto"/>
      </w:divBdr>
      <w:divsChild>
        <w:div w:id="159542543">
          <w:marLeft w:val="0"/>
          <w:marRight w:val="0"/>
          <w:marTop w:val="0"/>
          <w:marBottom w:val="0"/>
          <w:divBdr>
            <w:top w:val="none" w:sz="0" w:space="0" w:color="auto"/>
            <w:left w:val="none" w:sz="0" w:space="0" w:color="auto"/>
            <w:bottom w:val="none" w:sz="0" w:space="0" w:color="auto"/>
            <w:right w:val="none" w:sz="0" w:space="0" w:color="auto"/>
          </w:divBdr>
        </w:div>
        <w:div w:id="1915816586">
          <w:marLeft w:val="0"/>
          <w:marRight w:val="0"/>
          <w:marTop w:val="0"/>
          <w:marBottom w:val="0"/>
          <w:divBdr>
            <w:top w:val="none" w:sz="0" w:space="0" w:color="auto"/>
            <w:left w:val="none" w:sz="0" w:space="0" w:color="auto"/>
            <w:bottom w:val="none" w:sz="0" w:space="0" w:color="auto"/>
            <w:right w:val="none" w:sz="0" w:space="0" w:color="auto"/>
          </w:divBdr>
        </w:div>
        <w:div w:id="1567062404">
          <w:marLeft w:val="0"/>
          <w:marRight w:val="0"/>
          <w:marTop w:val="0"/>
          <w:marBottom w:val="0"/>
          <w:divBdr>
            <w:top w:val="none" w:sz="0" w:space="0" w:color="auto"/>
            <w:left w:val="none" w:sz="0" w:space="0" w:color="auto"/>
            <w:bottom w:val="none" w:sz="0" w:space="0" w:color="auto"/>
            <w:right w:val="none" w:sz="0" w:space="0" w:color="auto"/>
          </w:divBdr>
        </w:div>
        <w:div w:id="1934971220">
          <w:marLeft w:val="0"/>
          <w:marRight w:val="0"/>
          <w:marTop w:val="0"/>
          <w:marBottom w:val="0"/>
          <w:divBdr>
            <w:top w:val="none" w:sz="0" w:space="0" w:color="auto"/>
            <w:left w:val="none" w:sz="0" w:space="0" w:color="auto"/>
            <w:bottom w:val="none" w:sz="0" w:space="0" w:color="auto"/>
            <w:right w:val="none" w:sz="0" w:space="0" w:color="auto"/>
          </w:divBdr>
        </w:div>
        <w:div w:id="855459840">
          <w:marLeft w:val="0"/>
          <w:marRight w:val="0"/>
          <w:marTop w:val="0"/>
          <w:marBottom w:val="0"/>
          <w:divBdr>
            <w:top w:val="none" w:sz="0" w:space="0" w:color="auto"/>
            <w:left w:val="none" w:sz="0" w:space="0" w:color="auto"/>
            <w:bottom w:val="none" w:sz="0" w:space="0" w:color="auto"/>
            <w:right w:val="none" w:sz="0" w:space="0" w:color="auto"/>
          </w:divBdr>
        </w:div>
        <w:div w:id="1598440362">
          <w:marLeft w:val="0"/>
          <w:marRight w:val="0"/>
          <w:marTop w:val="0"/>
          <w:marBottom w:val="0"/>
          <w:divBdr>
            <w:top w:val="none" w:sz="0" w:space="0" w:color="auto"/>
            <w:left w:val="none" w:sz="0" w:space="0" w:color="auto"/>
            <w:bottom w:val="none" w:sz="0" w:space="0" w:color="auto"/>
            <w:right w:val="none" w:sz="0" w:space="0" w:color="auto"/>
          </w:divBdr>
          <w:divsChild>
            <w:div w:id="1274677436">
              <w:marLeft w:val="0"/>
              <w:marRight w:val="0"/>
              <w:marTop w:val="0"/>
              <w:marBottom w:val="0"/>
              <w:divBdr>
                <w:top w:val="none" w:sz="0" w:space="0" w:color="auto"/>
                <w:left w:val="none" w:sz="0" w:space="0" w:color="auto"/>
                <w:bottom w:val="none" w:sz="0" w:space="0" w:color="auto"/>
                <w:right w:val="none" w:sz="0" w:space="0" w:color="auto"/>
              </w:divBdr>
            </w:div>
            <w:div w:id="279721890">
              <w:marLeft w:val="0"/>
              <w:marRight w:val="0"/>
              <w:marTop w:val="0"/>
              <w:marBottom w:val="0"/>
              <w:divBdr>
                <w:top w:val="none" w:sz="0" w:space="0" w:color="auto"/>
                <w:left w:val="none" w:sz="0" w:space="0" w:color="auto"/>
                <w:bottom w:val="none" w:sz="0" w:space="0" w:color="auto"/>
                <w:right w:val="none" w:sz="0" w:space="0" w:color="auto"/>
              </w:divBdr>
            </w:div>
            <w:div w:id="1770808998">
              <w:marLeft w:val="0"/>
              <w:marRight w:val="0"/>
              <w:marTop w:val="0"/>
              <w:marBottom w:val="0"/>
              <w:divBdr>
                <w:top w:val="none" w:sz="0" w:space="0" w:color="auto"/>
                <w:left w:val="none" w:sz="0" w:space="0" w:color="auto"/>
                <w:bottom w:val="none" w:sz="0" w:space="0" w:color="auto"/>
                <w:right w:val="none" w:sz="0" w:space="0" w:color="auto"/>
              </w:divBdr>
            </w:div>
            <w:div w:id="220139593">
              <w:marLeft w:val="0"/>
              <w:marRight w:val="0"/>
              <w:marTop w:val="0"/>
              <w:marBottom w:val="0"/>
              <w:divBdr>
                <w:top w:val="none" w:sz="0" w:space="0" w:color="auto"/>
                <w:left w:val="none" w:sz="0" w:space="0" w:color="auto"/>
                <w:bottom w:val="none" w:sz="0" w:space="0" w:color="auto"/>
                <w:right w:val="none" w:sz="0" w:space="0" w:color="auto"/>
              </w:divBdr>
            </w:div>
            <w:div w:id="2050372507">
              <w:marLeft w:val="0"/>
              <w:marRight w:val="0"/>
              <w:marTop w:val="0"/>
              <w:marBottom w:val="0"/>
              <w:divBdr>
                <w:top w:val="none" w:sz="0" w:space="0" w:color="auto"/>
                <w:left w:val="none" w:sz="0" w:space="0" w:color="auto"/>
                <w:bottom w:val="none" w:sz="0" w:space="0" w:color="auto"/>
                <w:right w:val="none" w:sz="0" w:space="0" w:color="auto"/>
              </w:divBdr>
            </w:div>
          </w:divsChild>
        </w:div>
        <w:div w:id="1037582146">
          <w:marLeft w:val="0"/>
          <w:marRight w:val="0"/>
          <w:marTop w:val="0"/>
          <w:marBottom w:val="0"/>
          <w:divBdr>
            <w:top w:val="none" w:sz="0" w:space="0" w:color="auto"/>
            <w:left w:val="none" w:sz="0" w:space="0" w:color="auto"/>
            <w:bottom w:val="none" w:sz="0" w:space="0" w:color="auto"/>
            <w:right w:val="none" w:sz="0" w:space="0" w:color="auto"/>
          </w:divBdr>
          <w:divsChild>
            <w:div w:id="1522431626">
              <w:marLeft w:val="0"/>
              <w:marRight w:val="0"/>
              <w:marTop w:val="0"/>
              <w:marBottom w:val="0"/>
              <w:divBdr>
                <w:top w:val="none" w:sz="0" w:space="0" w:color="auto"/>
                <w:left w:val="none" w:sz="0" w:space="0" w:color="auto"/>
                <w:bottom w:val="none" w:sz="0" w:space="0" w:color="auto"/>
                <w:right w:val="none" w:sz="0" w:space="0" w:color="auto"/>
              </w:divBdr>
            </w:div>
            <w:div w:id="10437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9502">
      <w:bodyDiv w:val="1"/>
      <w:marLeft w:val="0"/>
      <w:marRight w:val="0"/>
      <w:marTop w:val="0"/>
      <w:marBottom w:val="0"/>
      <w:divBdr>
        <w:top w:val="none" w:sz="0" w:space="0" w:color="auto"/>
        <w:left w:val="none" w:sz="0" w:space="0" w:color="auto"/>
        <w:bottom w:val="none" w:sz="0" w:space="0" w:color="auto"/>
        <w:right w:val="none" w:sz="0" w:space="0" w:color="auto"/>
      </w:divBdr>
    </w:div>
    <w:div w:id="1604652271">
      <w:bodyDiv w:val="1"/>
      <w:marLeft w:val="0"/>
      <w:marRight w:val="0"/>
      <w:marTop w:val="0"/>
      <w:marBottom w:val="0"/>
      <w:divBdr>
        <w:top w:val="none" w:sz="0" w:space="0" w:color="auto"/>
        <w:left w:val="none" w:sz="0" w:space="0" w:color="auto"/>
        <w:bottom w:val="none" w:sz="0" w:space="0" w:color="auto"/>
        <w:right w:val="none" w:sz="0" w:space="0" w:color="auto"/>
      </w:divBdr>
    </w:div>
    <w:div w:id="1842236559">
      <w:bodyDiv w:val="1"/>
      <w:marLeft w:val="0"/>
      <w:marRight w:val="0"/>
      <w:marTop w:val="0"/>
      <w:marBottom w:val="0"/>
      <w:divBdr>
        <w:top w:val="none" w:sz="0" w:space="0" w:color="auto"/>
        <w:left w:val="none" w:sz="0" w:space="0" w:color="auto"/>
        <w:bottom w:val="none" w:sz="0" w:space="0" w:color="auto"/>
        <w:right w:val="none" w:sz="0" w:space="0" w:color="auto"/>
      </w:divBdr>
      <w:divsChild>
        <w:div w:id="31612299">
          <w:marLeft w:val="0"/>
          <w:marRight w:val="0"/>
          <w:marTop w:val="0"/>
          <w:marBottom w:val="0"/>
          <w:divBdr>
            <w:top w:val="none" w:sz="0" w:space="0" w:color="auto"/>
            <w:left w:val="none" w:sz="0" w:space="0" w:color="auto"/>
            <w:bottom w:val="none" w:sz="0" w:space="0" w:color="auto"/>
            <w:right w:val="none" w:sz="0" w:space="0" w:color="auto"/>
          </w:divBdr>
          <w:divsChild>
            <w:div w:id="767385771">
              <w:marLeft w:val="0"/>
              <w:marRight w:val="0"/>
              <w:marTop w:val="0"/>
              <w:marBottom w:val="0"/>
              <w:divBdr>
                <w:top w:val="none" w:sz="0" w:space="0" w:color="auto"/>
                <w:left w:val="none" w:sz="0" w:space="0" w:color="auto"/>
                <w:bottom w:val="none" w:sz="0" w:space="0" w:color="auto"/>
                <w:right w:val="none" w:sz="0" w:space="0" w:color="auto"/>
              </w:divBdr>
            </w:div>
            <w:div w:id="389964822">
              <w:marLeft w:val="0"/>
              <w:marRight w:val="0"/>
              <w:marTop w:val="0"/>
              <w:marBottom w:val="0"/>
              <w:divBdr>
                <w:top w:val="none" w:sz="0" w:space="0" w:color="auto"/>
                <w:left w:val="none" w:sz="0" w:space="0" w:color="auto"/>
                <w:bottom w:val="none" w:sz="0" w:space="0" w:color="auto"/>
                <w:right w:val="none" w:sz="0" w:space="0" w:color="auto"/>
              </w:divBdr>
            </w:div>
            <w:div w:id="2034572904">
              <w:marLeft w:val="0"/>
              <w:marRight w:val="0"/>
              <w:marTop w:val="0"/>
              <w:marBottom w:val="0"/>
              <w:divBdr>
                <w:top w:val="none" w:sz="0" w:space="0" w:color="auto"/>
                <w:left w:val="none" w:sz="0" w:space="0" w:color="auto"/>
                <w:bottom w:val="none" w:sz="0" w:space="0" w:color="auto"/>
                <w:right w:val="none" w:sz="0" w:space="0" w:color="auto"/>
              </w:divBdr>
            </w:div>
          </w:divsChild>
        </w:div>
        <w:div w:id="774715335">
          <w:marLeft w:val="0"/>
          <w:marRight w:val="0"/>
          <w:marTop w:val="0"/>
          <w:marBottom w:val="0"/>
          <w:divBdr>
            <w:top w:val="none" w:sz="0" w:space="0" w:color="auto"/>
            <w:left w:val="none" w:sz="0" w:space="0" w:color="auto"/>
            <w:bottom w:val="none" w:sz="0" w:space="0" w:color="auto"/>
            <w:right w:val="none" w:sz="0" w:space="0" w:color="auto"/>
          </w:divBdr>
          <w:divsChild>
            <w:div w:id="1020207058">
              <w:marLeft w:val="0"/>
              <w:marRight w:val="0"/>
              <w:marTop w:val="0"/>
              <w:marBottom w:val="0"/>
              <w:divBdr>
                <w:top w:val="none" w:sz="0" w:space="0" w:color="auto"/>
                <w:left w:val="none" w:sz="0" w:space="0" w:color="auto"/>
                <w:bottom w:val="none" w:sz="0" w:space="0" w:color="auto"/>
                <w:right w:val="none" w:sz="0" w:space="0" w:color="auto"/>
              </w:divBdr>
            </w:div>
            <w:div w:id="1077553553">
              <w:marLeft w:val="0"/>
              <w:marRight w:val="0"/>
              <w:marTop w:val="0"/>
              <w:marBottom w:val="0"/>
              <w:divBdr>
                <w:top w:val="none" w:sz="0" w:space="0" w:color="auto"/>
                <w:left w:val="none" w:sz="0" w:space="0" w:color="auto"/>
                <w:bottom w:val="none" w:sz="0" w:space="0" w:color="auto"/>
                <w:right w:val="none" w:sz="0" w:space="0" w:color="auto"/>
              </w:divBdr>
            </w:div>
            <w:div w:id="678040651">
              <w:marLeft w:val="0"/>
              <w:marRight w:val="0"/>
              <w:marTop w:val="0"/>
              <w:marBottom w:val="0"/>
              <w:divBdr>
                <w:top w:val="none" w:sz="0" w:space="0" w:color="auto"/>
                <w:left w:val="none" w:sz="0" w:space="0" w:color="auto"/>
                <w:bottom w:val="none" w:sz="0" w:space="0" w:color="auto"/>
                <w:right w:val="none" w:sz="0" w:space="0" w:color="auto"/>
              </w:divBdr>
            </w:div>
            <w:div w:id="1793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1027">
      <w:bodyDiv w:val="1"/>
      <w:marLeft w:val="0"/>
      <w:marRight w:val="0"/>
      <w:marTop w:val="0"/>
      <w:marBottom w:val="0"/>
      <w:divBdr>
        <w:top w:val="none" w:sz="0" w:space="0" w:color="auto"/>
        <w:left w:val="none" w:sz="0" w:space="0" w:color="auto"/>
        <w:bottom w:val="none" w:sz="0" w:space="0" w:color="auto"/>
        <w:right w:val="none" w:sz="0" w:space="0" w:color="auto"/>
      </w:divBdr>
    </w:div>
    <w:div w:id="2041399182">
      <w:bodyDiv w:val="1"/>
      <w:marLeft w:val="0"/>
      <w:marRight w:val="0"/>
      <w:marTop w:val="0"/>
      <w:marBottom w:val="0"/>
      <w:divBdr>
        <w:top w:val="none" w:sz="0" w:space="0" w:color="auto"/>
        <w:left w:val="none" w:sz="0" w:space="0" w:color="auto"/>
        <w:bottom w:val="none" w:sz="0" w:space="0" w:color="auto"/>
        <w:right w:val="none" w:sz="0" w:space="0" w:color="auto"/>
      </w:divBdr>
    </w:div>
    <w:div w:id="2110194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icpa.org/content/dam/aicpa/interestareas/privatecompaniespracticesection/downloadabledocuments/coronavirus-ppp-loan-forgiveness-services-matrix.pdf" TargetMode="External"/><Relationship Id="rId18" Type="http://schemas.openxmlformats.org/officeDocument/2006/relationships/hyperlink" Target="https://future.aicpa.org/cpe-learning/course/blockchain-fundamentals-for-accounting-and-finance-professionals-certificate" TargetMode="External"/><Relationship Id="rId26" Type="http://schemas.openxmlformats.org/officeDocument/2006/relationships/hyperlink" Target="https://future.aicpa.org/cpe-learning/course/blockchain-fundamentals-for-accounting-and-finance-professionals-certificate" TargetMode="External"/><Relationship Id="rId39" Type="http://schemas.openxmlformats.org/officeDocument/2006/relationships/hyperlink" Target="https://future.aicpa.org/cpe-learning/webcast/understanding-fraud-risks-auditing-during-the-pandemic" TargetMode="External"/><Relationship Id="rId21" Type="http://schemas.openxmlformats.org/officeDocument/2006/relationships/hyperlink" Target="https://future.aicpa.org/cpe-learning/course/soc-2r-report-walkthrough" TargetMode="External"/><Relationship Id="rId34" Type="http://schemas.openxmlformats.org/officeDocument/2006/relationships/hyperlink" Target="https://www.journalofaccountancy.com/news/2020/dec/auditing-fraud-risk-during-coronavirus-pandemic.html" TargetMode="External"/><Relationship Id="rId42" Type="http://schemas.openxmlformats.org/officeDocument/2006/relationships/hyperlink" Target="https://blog.aicpa.org/2021/02/top-audit-challenges-in-2021-peer-reviewers-weigh-in.html" TargetMode="External"/><Relationship Id="rId47" Type="http://schemas.openxmlformats.org/officeDocument/2006/relationships/hyperlink" Target="https://podcasts.apple.com/us/podcast/ethically-speaking/id1465405517" TargetMode="External"/><Relationship Id="rId50" Type="http://schemas.openxmlformats.org/officeDocument/2006/relationships/hyperlink" Target="https://www.aicpa.org/content/dam/aicpa/research/exposuredrafts/accountingandauditing/downloadabledocuments/20210225a/20210225a-noclar-ed.pdf" TargetMode="External"/><Relationship Id="rId55" Type="http://schemas.openxmlformats.org/officeDocument/2006/relationships/hyperlink" Target="https://www.aicpa.org/press/pressreleases/2019/aicpa-working-group-tackles-digital-assets-in-a-new-practice-aid.html" TargetMode="External"/><Relationship Id="rId63" Type="http://schemas.openxmlformats.org/officeDocument/2006/relationships/hyperlink" Target="https://www.aicpa.org/content/dam/aicpa/research/standards/auditattest/downloadabledocuments/ssae-19.pdf." TargetMode="External"/><Relationship Id="rId68"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aicpa.org/eaq" TargetMode="External"/><Relationship Id="rId29" Type="http://schemas.openxmlformats.org/officeDocument/2006/relationships/hyperlink" Target="https://future.aicpa.org/cpe-learning/course/soc-2r-report-walkthrough" TargetMode="External"/><Relationship Id="rId11" Type="http://schemas.openxmlformats.org/officeDocument/2006/relationships/hyperlink" Target="https://www.aicpa.org/interestareas/governmentalauditquality.html" TargetMode="External"/><Relationship Id="rId24" Type="http://schemas.openxmlformats.org/officeDocument/2006/relationships/hyperlink" Target="https://future.aicpa.org/cpe-learning/publication/soc-2-reporting-on-an-examination-of-controls-at-a-service-organization-relevant-to-security-availability-processing-integrity-confidentiality-or-privacy" TargetMode="External"/><Relationship Id="rId32" Type="http://schemas.openxmlformats.org/officeDocument/2006/relationships/hyperlink" Target="https://future.aicpa.org/cpe-learning/publication/soc-2-reporting-on-an-examination-of-controls-at-a-service-organization-relevant-to-security-availability-processing-integrity-confidentiality-or-privacy" TargetMode="External"/><Relationship Id="rId37" Type="http://schemas.openxmlformats.org/officeDocument/2006/relationships/hyperlink" Target="https://blog.aicpa.org/2020/12/how-to-audit-during-a-pandemic-you-asked-we-answered.html" TargetMode="External"/><Relationship Id="rId40" Type="http://schemas.openxmlformats.org/officeDocument/2006/relationships/hyperlink" Target="https://www.aicpa.org/news/aicpa-coronavirus-resource-center.html" TargetMode="External"/><Relationship Id="rId45" Type="http://schemas.openxmlformats.org/officeDocument/2006/relationships/hyperlink" Target="https://podcasts.google.com/feed/aHR0cHM6Ly9ldGhpY2FsbHlzcGVha2luZy5saWJzeW4uY29tL3Jzcw" TargetMode="External"/><Relationship Id="rId53" Type="http://schemas.openxmlformats.org/officeDocument/2006/relationships/hyperlink" Target="https://www.aicpa.org/content/dam/aicpa/interestareas/professionalethics/community/exposuredrafts/downloadabledocuments/2021/2021-March-staff-augmentation-official.pdf" TargetMode="External"/><Relationship Id="rId58" Type="http://schemas.openxmlformats.org/officeDocument/2006/relationships/hyperlink" Target="https://www.aicpa.org/content/dam/aicpa/interestareas/frc/assuranceadvisoryservices/downloadabledocuments/implications-of-blockchain-web.pdf" TargetMode="External"/><Relationship Id="rId66"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future.aicpa.org/cpe-learning/publication/reporting-on-an-examination-of-controls-at-a-service-organization-relevant-to-user-entities-internal-control-over-financial-reporting-soc-1-guide" TargetMode="External"/><Relationship Id="rId28" Type="http://schemas.openxmlformats.org/officeDocument/2006/relationships/hyperlink" Target="https://future.aicpa.org/cpe-learning/course/soc-for-service-organizations-deep-dive" TargetMode="External"/><Relationship Id="rId36" Type="http://schemas.openxmlformats.org/officeDocument/2006/relationships/hyperlink" Target="https://blog.aicpa.org/2020/11/auditing-health-care-entities-affected-by-covid-19.html" TargetMode="External"/><Relationship Id="rId49" Type="http://schemas.openxmlformats.org/officeDocument/2006/relationships/hyperlink" Target="https://www.aicpa.org/content/dam/aicpa/interestareas/professionalethics/community/exposuredrafts/downloadabledocuments/2021/2021-Feb-NOCLAR-ED.pdf?cid=email:Press%20Release:NOCLAR:Jhmedia:aicpa&amp;utm_medium=email&amp;utm_source=Press%20Release&amp;utm_campaign=NOCLAR&amp;utm_content=Jhmedia" TargetMode="External"/><Relationship Id="rId57" Type="http://schemas.openxmlformats.org/officeDocument/2006/relationships/hyperlink" Target="https://www.aicpa.org/content/dam/aicpa/interestareas/frc/assuranceadvisoryservices/downloadabledocuments/implications-of-blockchain-web.pdf" TargetMode="External"/><Relationship Id="rId61" Type="http://schemas.openxmlformats.org/officeDocument/2006/relationships/hyperlink" Target="https://www.aicpa.org/content/dam/aicpa/interestareas/frc/assuranceadvisoryservices/downloadabledocuments/56175896-2011-04977-soc-2-commonly-asked-questions-final.pdf" TargetMode="External"/><Relationship Id="rId10" Type="http://schemas.openxmlformats.org/officeDocument/2006/relationships/endnotes" Target="endnotes.xml"/><Relationship Id="rId19" Type="http://schemas.openxmlformats.org/officeDocument/2006/relationships/hyperlink" Target="https://future.aicpa.org/cpe-learning/course/introduction-to-soc-for-service-organizations-reporting" TargetMode="External"/><Relationship Id="rId31" Type="http://schemas.openxmlformats.org/officeDocument/2006/relationships/hyperlink" Target="https://future.aicpa.org/cpe-learning/publication/reporting-on-an-examination-of-controls-at-a-service-organization-relevant-to-user-entities-internal-control-over-financial-reporting-soc-1-guide" TargetMode="External"/><Relationship Id="rId44" Type="http://schemas.openxmlformats.org/officeDocument/2006/relationships/hyperlink" Target="https://podcasts.apple.com/us/podcast/ethically-speaking/id1465405517" TargetMode="External"/><Relationship Id="rId52" Type="http://schemas.openxmlformats.org/officeDocument/2006/relationships/hyperlink" Target="https://www.aicpa.org/content/dam/aicpa/interestareas/professionalethics/community/exposuredrafts/downloadabledocuments/2021/2021-March-records-requests-official.pdf" TargetMode="External"/><Relationship Id="rId60" Type="http://schemas.openxmlformats.org/officeDocument/2006/relationships/hyperlink" Target="https://www.aicpa.org/content/dam/aicpa/interestareas/frc/assuranceadvisoryservices/downloadabledocuments/56175896-2011-04977-soc-2-commonly-asked-questions-final.pdf" TargetMode="External"/><Relationship Id="rId65" Type="http://schemas.openxmlformats.org/officeDocument/2006/relationships/hyperlink" Target="https://www.aicpa.org/content/dam/aicpa/research/standards/auditattest/downloadabledocuments/performing-agreed-upon-procedures-engagements-in-accordance-with-ssae-19.pdf"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uture.aicpa.org/resources/toolkit/paycheck-protection-program-resources-for-cpas" TargetMode="External"/><Relationship Id="rId22" Type="http://schemas.openxmlformats.org/officeDocument/2006/relationships/hyperlink" Target="https://future.aicpa.org/cpe-learning/exam/advanced-soc-for-service-organizations-certificate-exam" TargetMode="External"/><Relationship Id="rId27" Type="http://schemas.openxmlformats.org/officeDocument/2006/relationships/hyperlink" Target="https://future.aicpa.org/cpe-learning/course/introduction-to-soc-for-service-organizations-reporting" TargetMode="External"/><Relationship Id="rId30" Type="http://schemas.openxmlformats.org/officeDocument/2006/relationships/hyperlink" Target="https://future.aicpa.org/cpe-learning/exam/advanced-soc-for-service-organizations-certificate-exam" TargetMode="External"/><Relationship Id="rId35" Type="http://schemas.openxmlformats.org/officeDocument/2006/relationships/hyperlink" Target="https://blog.aicpa.org/2021/03/covid-19-challenges-in-commercial-real-estate-audits.html" TargetMode="External"/><Relationship Id="rId43" Type="http://schemas.openxmlformats.org/officeDocument/2006/relationships/hyperlink" Target="https://www.aicpa.org/ethicallyspeaking" TargetMode="External"/><Relationship Id="rId48" Type="http://schemas.openxmlformats.org/officeDocument/2006/relationships/hyperlink" Target="https://podcasts.google.com/feed/aHR0cHM6Ly9ldGhpY2FsbHlzcGVha2luZy5saWJzeW4uY29tL3Jzcw" TargetMode="External"/><Relationship Id="rId56" Type="http://schemas.openxmlformats.org/officeDocument/2006/relationships/hyperlink" Target="https://future.aicpa.org/resources/download/blockchain-risk-considerations-for-professionals" TargetMode="External"/><Relationship Id="rId64" Type="http://schemas.openxmlformats.org/officeDocument/2006/relationships/hyperlink" Target="https://www.aicpa.org/content/dam/aicpa/research/standards/auditattest/downloadabledocuments/ssae-19-at-a-glance.pdf" TargetMode="External"/><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competency.aicpa.org/media_resources/208566-aicpa-professional-standards"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aicpa.org/interestareas/governmentalauditquality/resources/singleaudit/uniformguidanceforfederalrewards.html" TargetMode="External"/><Relationship Id="rId17" Type="http://schemas.openxmlformats.org/officeDocument/2006/relationships/hyperlink" Target="https://future.aicpa.org/cpe-learning/course/blockchain-for-digital-assets-accounting-for-digital-assets-under-us-gaap" TargetMode="External"/><Relationship Id="rId25" Type="http://schemas.openxmlformats.org/officeDocument/2006/relationships/hyperlink" Target="https://future.aicpa.org/cpe-learning/course/blockchain-for-digital-assets-accounting-for-digital-assets-under-us-gaap" TargetMode="External"/><Relationship Id="rId33" Type="http://schemas.openxmlformats.org/officeDocument/2006/relationships/hyperlink" Target="https://future.aicpa.org/topic/audit-assurance/covid-19-audit-assurance" TargetMode="External"/><Relationship Id="rId38" Type="http://schemas.openxmlformats.org/officeDocument/2006/relationships/hyperlink" Target="https://blog.aicpa.org/2021/04/3-ebp-audit-considerations-in-2021.html" TargetMode="External"/><Relationship Id="rId46" Type="http://schemas.openxmlformats.org/officeDocument/2006/relationships/hyperlink" Target="https://www.aicpa.org/ethicallyspeaking" TargetMode="External"/><Relationship Id="rId59" Type="http://schemas.openxmlformats.org/officeDocument/2006/relationships/hyperlink" Target="https://www.aicpa.org/interestareas/frc/assuranceadvisoryservices/sorhome.html" TargetMode="External"/><Relationship Id="rId67" Type="http://schemas.openxmlformats.org/officeDocument/2006/relationships/header" Target="header2.xml"/><Relationship Id="rId20" Type="http://schemas.openxmlformats.org/officeDocument/2006/relationships/hyperlink" Target="https://future.aicpa.org/cpe-learning/course/soc-for-service-organizations-deep-dive" TargetMode="External"/><Relationship Id="rId41" Type="http://schemas.openxmlformats.org/officeDocument/2006/relationships/hyperlink" Target="https://future.aicpa.org/cpe-learning/course/risk-assessment-during-the-recovery-sso" TargetMode="External"/><Relationship Id="rId54" Type="http://schemas.openxmlformats.org/officeDocument/2006/relationships/hyperlink" Target="http://www.aicpa.org/digitalassets" TargetMode="External"/><Relationship Id="rId62" Type="http://schemas.openxmlformats.org/officeDocument/2006/relationships/hyperlink" Target="https://www.fasb.org/jsp/FASB/Document_C/DocumentPage?cid=1176176428664&amp;acceptedDisclaimer=true"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are\AppData\Roaming\Microsoft\Templates\Hardware%20newsletter.dotx" TargetMode="External"/></Relationship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75b3c9cb-7bd1-479f-9268-fc00791611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D81C974303B748913C43E1198B0C05" ma:contentTypeVersion="15" ma:contentTypeDescription="Create a new document." ma:contentTypeScope="" ma:versionID="a3477af0b8ed1e9e7aec8ed9b6fd69ea">
  <xsd:schema xmlns:xsd="http://www.w3.org/2001/XMLSchema" xmlns:xs="http://www.w3.org/2001/XMLSchema" xmlns:p="http://schemas.microsoft.com/office/2006/metadata/properties" xmlns:ns1="http://schemas.microsoft.com/sharepoint/v3" xmlns:ns3="75b3c9cb-7bd1-479f-9268-fc007916113e" xmlns:ns4="9812d7a0-4f9a-402c-b7a1-cdc5723cb6d9" targetNamespace="http://schemas.microsoft.com/office/2006/metadata/properties" ma:root="true" ma:fieldsID="c2cc26d362c742cebd07bb2c812e371c" ns1:_="" ns3:_="" ns4:_="">
    <xsd:import namespace="http://schemas.microsoft.com/sharepoint/v3"/>
    <xsd:import namespace="75b3c9cb-7bd1-479f-9268-fc007916113e"/>
    <xsd:import namespace="9812d7a0-4f9a-402c-b7a1-cdc5723cb6d9"/>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3c9cb-7bd1-479f-9268-fc007916113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2d7a0-4f9a-402c-b7a1-cdc5723cb6d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A05ED-A03F-4C0A-9854-3632508C0A1F}">
  <ds:schemaRefs>
    <ds:schemaRef ds:uri="http://schemas.openxmlformats.org/officeDocument/2006/bibliography"/>
  </ds:schemaRefs>
</ds:datastoreItem>
</file>

<file path=customXml/itemProps2.xml><?xml version="1.0" encoding="utf-8"?>
<ds:datastoreItem xmlns:ds="http://schemas.openxmlformats.org/officeDocument/2006/customXml" ds:itemID="{6A5723A9-56A6-47D9-9F3B-BB28FB5F1650}">
  <ds:schemaRefs>
    <ds:schemaRef ds:uri="http://schemas.openxmlformats.org/package/2006/metadata/core-properties"/>
    <ds:schemaRef ds:uri="http://schemas.microsoft.com/office/2006/metadata/properties"/>
    <ds:schemaRef ds:uri="9812d7a0-4f9a-402c-b7a1-cdc5723cb6d9"/>
    <ds:schemaRef ds:uri="http://purl.org/dc/dcmitype/"/>
    <ds:schemaRef ds:uri="http://schemas.microsoft.com/office/infopath/2007/PartnerControls"/>
    <ds:schemaRef ds:uri="http://schemas.microsoft.com/sharepoint/v3"/>
    <ds:schemaRef ds:uri="http://www.w3.org/XML/1998/namespace"/>
    <ds:schemaRef ds:uri="http://schemas.microsoft.com/office/2006/documentManagement/types"/>
    <ds:schemaRef ds:uri="75b3c9cb-7bd1-479f-9268-fc007916113e"/>
    <ds:schemaRef ds:uri="http://purl.org/dc/terms/"/>
    <ds:schemaRef ds:uri="http://purl.org/dc/elements/1.1/"/>
  </ds:schemaRefs>
</ds:datastoreItem>
</file>

<file path=customXml/itemProps3.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4.xml><?xml version="1.0" encoding="utf-8"?>
<ds:datastoreItem xmlns:ds="http://schemas.openxmlformats.org/officeDocument/2006/customXml" ds:itemID="{5429EEA4-B0EA-454E-A1E4-9611C7D4E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b3c9cb-7bd1-479f-9268-fc007916113e"/>
    <ds:schemaRef ds:uri="9812d7a0-4f9a-402c-b7a1-cdc5723cb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Hardware newsletter</Template>
  <TotalTime>0</TotalTime>
  <Pages>6</Pages>
  <Words>3056</Words>
  <Characters>17424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2021-10-26T18:08:00Z</dcterms:created>
  <dcterms:modified xsi:type="dcterms:W3CDTF">2021-10-26T18:08:00Z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0x0101000AD81C974303B748913C43E1198B0C05</vt:lpwstr>
  </property>
</Properties>
</file>