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A93FB" w14:textId="77777777" w:rsidR="00D2071C" w:rsidRPr="007E07A0" w:rsidRDefault="00D2071C" w:rsidP="00D2071C">
      <w:pPr>
        <w:jc w:val="center"/>
        <w:rPr>
          <w:rFonts w:ascii="Arial" w:hAnsi="Arial" w:cs="Arial"/>
          <w:b/>
          <w:bCs/>
          <w:noProof/>
          <w:color w:val="FF0000"/>
          <w:sz w:val="24"/>
          <w:szCs w:val="24"/>
        </w:rPr>
      </w:pPr>
    </w:p>
    <w:p w14:paraId="24A4515E" w14:textId="2411C3A5" w:rsidR="00896CC8" w:rsidRPr="00D2071C" w:rsidRDefault="000068B9" w:rsidP="00D2071C">
      <w:pPr>
        <w:jc w:val="center"/>
        <w:rPr>
          <w:rFonts w:ascii="Arial" w:hAnsi="Arial" w:cs="Arial"/>
          <w:b/>
          <w:bCs/>
          <w:color w:val="FF0000"/>
          <w:sz w:val="36"/>
          <w:szCs w:val="36"/>
        </w:rPr>
      </w:pPr>
      <w:r w:rsidRPr="003674DC">
        <w:rPr>
          <w:rFonts w:ascii="Arial" w:hAnsi="Arial" w:cs="Arial"/>
          <w:noProof/>
          <w:color w:val="005BBB"/>
        </w:rPr>
        <mc:AlternateContent>
          <mc:Choice Requires="wps">
            <w:drawing>
              <wp:anchor distT="0" distB="0" distL="114300" distR="114300" simplePos="0" relativeHeight="251732992" behindDoc="0" locked="0" layoutInCell="1" allowOverlap="1" wp14:anchorId="763180AD" wp14:editId="7CCD4F1C">
                <wp:simplePos x="0" y="0"/>
                <wp:positionH relativeFrom="column">
                  <wp:posOffset>6736204</wp:posOffset>
                </wp:positionH>
                <wp:positionV relativeFrom="paragraph">
                  <wp:posOffset>8295829</wp:posOffset>
                </wp:positionV>
                <wp:extent cx="57150" cy="571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7150" cy="57150"/>
                        </a:xfrm>
                        <a:prstGeom prst="rect">
                          <a:avLst/>
                        </a:prstGeom>
                        <a:solidFill>
                          <a:srgbClr val="005BBB"/>
                        </a:solidFill>
                        <a:ln>
                          <a:solidFill>
                            <a:srgbClr val="005BB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ADB28" id="Rectangle 1" o:spid="_x0000_s1026" style="position:absolute;margin-left:530.4pt;margin-top:653.2pt;width:4.5pt;height: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" fillcolor="#005bbb" strokecolor="#005bbb" strokeweight="1pt"/>
            </w:pict>
          </mc:Fallback>
        </mc:AlternateContent>
      </w:r>
      <w:r w:rsidR="005F2B3B" w:rsidRPr="003448CE">
        <w:rPr>
          <w:rFonts w:ascii="Arial" w:hAnsi="Arial" w:cs="Arial"/>
          <w:b/>
          <w:noProof/>
          <w:color w:val="005BBB"/>
          <w:sz w:val="26"/>
          <w:szCs w:val="26"/>
        </w:rPr>
        <w:drawing>
          <wp:anchor distT="0" distB="0" distL="114300" distR="114300" simplePos="0" relativeHeight="251683840" behindDoc="1" locked="0" layoutInCell="1" allowOverlap="1" wp14:anchorId="5B9A33DF" wp14:editId="505FF145">
            <wp:simplePos x="0" y="0"/>
            <wp:positionH relativeFrom="column">
              <wp:posOffset>-281635</wp:posOffset>
            </wp:positionH>
            <wp:positionV relativeFrom="paragraph">
              <wp:posOffset>7935748</wp:posOffset>
            </wp:positionV>
            <wp:extent cx="4910455" cy="697662"/>
            <wp:effectExtent l="0" t="0" r="444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73122"/>
                    <a:stretch/>
                  </pic:blipFill>
                  <pic:spPr bwMode="auto">
                    <a:xfrm>
                      <a:off x="0" y="0"/>
                      <a:ext cx="4928675" cy="70025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2071C" w:rsidRPr="00D2071C">
        <w:rPr>
          <w:rFonts w:ascii="Arial" w:hAnsi="Arial" w:cs="Arial"/>
          <w:b/>
          <w:bCs/>
          <w:noProof/>
          <w:color w:val="FF0000"/>
          <w:sz w:val="36"/>
          <w:szCs w:val="36"/>
        </w:rPr>
        <w:t>INSERT YOUR FIRM’S LOGO/BRANDING HERE</w:t>
      </w:r>
    </w:p>
    <w:tbl>
      <w:tblPr>
        <w:tblW w:w="5377" w:type="pct"/>
        <w:tblInd w:w="-450" w:type="dxa"/>
        <w:tblCellMar>
          <w:left w:w="115" w:type="dxa"/>
          <w:right w:w="115" w:type="dxa"/>
        </w:tblCellMar>
        <w:tblLook w:val="0600" w:firstRow="0" w:lastRow="0" w:firstColumn="0" w:lastColumn="0" w:noHBand="1" w:noVBand="1"/>
        <w:tblDescription w:val="Layout table page 1"/>
      </w:tblPr>
      <w:tblGrid>
        <w:gridCol w:w="7921"/>
        <w:gridCol w:w="3693"/>
      </w:tblGrid>
      <w:tr w:rsidR="0097566F" w:rsidRPr="00AB5A4F" w14:paraId="78E89C10" w14:textId="77777777" w:rsidTr="003C7AC1">
        <w:trPr>
          <w:trHeight w:val="576"/>
        </w:trPr>
        <w:tc>
          <w:tcPr>
            <w:tcW w:w="5000" w:type="pct"/>
            <w:gridSpan w:val="2"/>
            <w:shd w:val="clear" w:color="auto" w:fill="005BBB"/>
            <w:vAlign w:val="center"/>
          </w:tcPr>
          <w:p w14:paraId="65BC03BF" w14:textId="27E11530" w:rsidR="0097566F" w:rsidRPr="00CF01CB" w:rsidRDefault="003448CE" w:rsidP="003C7AC1">
            <w:pPr>
              <w:pStyle w:val="Heading1"/>
              <w:spacing w:before="0" w:after="0"/>
              <w:rPr>
                <w:rFonts w:ascii="Arial" w:hAnsi="Arial" w:cs="Arial"/>
                <w:caps w:val="0"/>
                <w:color w:val="FFFFFF" w:themeColor="background1"/>
                <w:sz w:val="36"/>
                <w:szCs w:val="36"/>
              </w:rPr>
            </w:pPr>
            <w:r>
              <w:rPr>
                <w:rFonts w:ascii="Arial" w:hAnsi="Arial" w:cs="Arial"/>
                <w:bCs w:val="0"/>
                <w:caps w:val="0"/>
                <w:color w:val="FFFFFF" w:themeColor="background1"/>
                <w:sz w:val="32"/>
                <w:szCs w:val="32"/>
              </w:rPr>
              <w:t xml:space="preserve">Responding to </w:t>
            </w:r>
            <w:r w:rsidRPr="003448CE">
              <w:rPr>
                <w:rFonts w:ascii="Arial" w:hAnsi="Arial" w:cs="Arial"/>
                <w:bCs w:val="0"/>
                <w:caps w:val="0"/>
                <w:color w:val="FFFFFF" w:themeColor="background1"/>
                <w:sz w:val="32"/>
                <w:szCs w:val="32"/>
              </w:rPr>
              <w:t>COVID-19</w:t>
            </w:r>
          </w:p>
        </w:tc>
      </w:tr>
      <w:tr w:rsidR="0097566F" w:rsidRPr="00AB5A4F" w14:paraId="43A3F723" w14:textId="77777777" w:rsidTr="003C7AC1">
        <w:trPr>
          <w:trHeight w:val="70"/>
        </w:trPr>
        <w:tc>
          <w:tcPr>
            <w:tcW w:w="5000" w:type="pct"/>
            <w:gridSpan w:val="2"/>
            <w:shd w:val="clear" w:color="auto" w:fill="auto"/>
          </w:tcPr>
          <w:p w14:paraId="0EB7FE50" w14:textId="77777777" w:rsidR="0097566F" w:rsidRPr="000709BE" w:rsidRDefault="0097566F" w:rsidP="003C7AC1">
            <w:pPr>
              <w:pStyle w:val="Heading1"/>
              <w:spacing w:before="0" w:after="0"/>
              <w:jc w:val="both"/>
              <w:rPr>
                <w:color w:val="FFFFFF" w:themeColor="background1"/>
                <w:sz w:val="6"/>
                <w:shd w:val="clear" w:color="auto" w:fill="7030A0"/>
              </w:rPr>
            </w:pPr>
          </w:p>
        </w:tc>
      </w:tr>
      <w:tr w:rsidR="0097566F" w:rsidRPr="00616EA8" w14:paraId="3A064296" w14:textId="77777777" w:rsidTr="003448CE">
        <w:trPr>
          <w:trHeight w:val="12012"/>
        </w:trPr>
        <w:tc>
          <w:tcPr>
            <w:tcW w:w="3410" w:type="pct"/>
            <w:tcBorders>
              <w:right w:val="single" w:sz="12" w:space="0" w:color="005BBB"/>
            </w:tcBorders>
            <w:tcMar>
              <w:right w:w="216" w:type="dxa"/>
            </w:tcMar>
          </w:tcPr>
          <w:p w14:paraId="044CDCC6" w14:textId="185825CB" w:rsidR="0097566F" w:rsidRPr="00B57F7C" w:rsidRDefault="0097566F" w:rsidP="003C7AC1">
            <w:pPr>
              <w:spacing w:before="100"/>
              <w:rPr>
                <w:rFonts w:ascii="Arial" w:hAnsi="Arial" w:cs="Arial"/>
                <w:color w:val="005BBB"/>
                <w:sz w:val="26"/>
                <w:szCs w:val="26"/>
              </w:rPr>
            </w:pPr>
            <w:r>
              <w:rPr>
                <w:rFonts w:ascii="Arial" w:hAnsi="Arial" w:cs="Arial"/>
                <w:b/>
                <w:color w:val="005BBB"/>
                <w:sz w:val="26"/>
                <w:szCs w:val="26"/>
              </w:rPr>
              <w:t>COVID-19 Updates and Resources</w:t>
            </w:r>
          </w:p>
          <w:p w14:paraId="6D97A6E6" w14:textId="356FE221" w:rsidR="00076B79" w:rsidRPr="003674DC" w:rsidRDefault="0097566F" w:rsidP="003674DC">
            <w:pPr>
              <w:ind w:right="231"/>
              <w:rPr>
                <w:rFonts w:ascii="Arial" w:hAnsi="Arial" w:cs="Arial"/>
              </w:rPr>
            </w:pPr>
            <w:r w:rsidRPr="003674DC">
              <w:rPr>
                <w:rFonts w:ascii="Arial" w:hAnsi="Arial" w:cs="Arial"/>
              </w:rPr>
              <w:t>Many standard setters, including the ASB, FASB, GASB and PEEC, have</w:t>
            </w:r>
            <w:r w:rsidR="00421884" w:rsidRPr="003674DC">
              <w:rPr>
                <w:rFonts w:ascii="Arial" w:hAnsi="Arial" w:cs="Arial"/>
              </w:rPr>
              <w:t xml:space="preserve"> evaluated,</w:t>
            </w:r>
            <w:r w:rsidRPr="003674DC">
              <w:rPr>
                <w:rFonts w:ascii="Arial" w:hAnsi="Arial" w:cs="Arial"/>
              </w:rPr>
              <w:t xml:space="preserve"> or are evaluating</w:t>
            </w:r>
            <w:r w:rsidR="00421884" w:rsidRPr="003674DC">
              <w:rPr>
                <w:rFonts w:ascii="Arial" w:hAnsi="Arial" w:cs="Arial"/>
              </w:rPr>
              <w:t>,</w:t>
            </w:r>
            <w:r w:rsidRPr="003674DC">
              <w:rPr>
                <w:rFonts w:ascii="Arial" w:hAnsi="Arial" w:cs="Arial"/>
              </w:rPr>
              <w:t xml:space="preserve"> effective dates and standard setting </w:t>
            </w:r>
            <w:r w:rsidR="002E3D80" w:rsidRPr="003674DC">
              <w:rPr>
                <w:rFonts w:ascii="Arial" w:hAnsi="Arial" w:cs="Arial"/>
              </w:rPr>
              <w:t>agendas.</w:t>
            </w:r>
            <w:r w:rsidRPr="003674DC">
              <w:rPr>
                <w:rFonts w:ascii="Arial" w:hAnsi="Arial" w:cs="Arial"/>
              </w:rPr>
              <w:t xml:space="preserve"> </w:t>
            </w:r>
            <w:r w:rsidR="003674DC" w:rsidRPr="003674DC">
              <w:rPr>
                <w:rFonts w:ascii="Arial" w:hAnsi="Arial" w:cs="Arial"/>
              </w:rPr>
              <w:t xml:space="preserve">There are known and potential delays of effective dates of new standards and deadlines. </w:t>
            </w:r>
            <w:r w:rsidRPr="003674DC">
              <w:rPr>
                <w:rFonts w:ascii="Arial" w:hAnsi="Arial" w:cs="Arial"/>
              </w:rPr>
              <w:t xml:space="preserve">As auditors navigate the challenges presented by the COVID-19 pandemic, the AICPA is working hard to provide help. They have launched an A&amp;A resource center at </w:t>
            </w:r>
            <w:hyperlink r:id="rId12" w:history="1">
              <w:r w:rsidRPr="003674DC">
                <w:rPr>
                  <w:rStyle w:val="Hyperlink"/>
                  <w:rFonts w:ascii="Arial" w:hAnsi="Arial" w:cs="Arial"/>
                </w:rPr>
                <w:t>aicpa.org/covidaudit</w:t>
              </w:r>
            </w:hyperlink>
            <w:r w:rsidRPr="003674DC">
              <w:rPr>
                <w:rFonts w:ascii="Arial" w:hAnsi="Arial" w:cs="Arial"/>
              </w:rPr>
              <w:t xml:space="preserve"> </w:t>
            </w:r>
            <w:r w:rsidR="00E4387F" w:rsidRPr="00E4387F">
              <w:rPr>
                <w:rFonts w:ascii="Arial" w:hAnsi="Arial" w:cs="Arial"/>
              </w:rPr>
              <w:t>where you can access free resources addressing pressing topics like remote auditing, subsequent event disclosures and going concern.</w:t>
            </w:r>
          </w:p>
          <w:p w14:paraId="4AA09BDE" w14:textId="0E84003D" w:rsidR="003674DC" w:rsidRPr="003674DC" w:rsidRDefault="003674DC" w:rsidP="003674DC">
            <w:pPr>
              <w:ind w:right="231"/>
              <w:rPr>
                <w:rFonts w:ascii="Arial" w:hAnsi="Arial" w:cs="Arial"/>
              </w:rPr>
            </w:pPr>
            <w:r w:rsidRPr="003674DC">
              <w:rPr>
                <w:rFonts w:ascii="Arial" w:hAnsi="Arial" w:cs="Arial"/>
              </w:rPr>
              <w:t xml:space="preserve">Business in the U.S. has been greatly impacted by COVID-19. The Coronavirus Aid, Relief, and Economic Security (CARES) Act provides relief through a variety of programs including the Paycheck Protection Program (PPP). Resources and tools about the PPP and other SBA loan options are available at </w:t>
            </w:r>
            <w:hyperlink r:id="rId13" w:history="1">
              <w:r w:rsidRPr="003674DC">
                <w:rPr>
                  <w:rStyle w:val="Hyperlink"/>
                  <w:rFonts w:ascii="Arial" w:hAnsi="Arial" w:cs="Arial"/>
                </w:rPr>
                <w:t>aicpa.org/sba</w:t>
              </w:r>
            </w:hyperlink>
            <w:r w:rsidR="000068B9">
              <w:rPr>
                <w:rStyle w:val="Hyperlink"/>
                <w:rFonts w:ascii="Arial" w:hAnsi="Arial" w:cs="Arial"/>
              </w:rPr>
              <w:t>.</w:t>
            </w:r>
          </w:p>
          <w:p w14:paraId="2F61E1DB" w14:textId="6D236079" w:rsidR="0097566F" w:rsidRPr="003674DC" w:rsidRDefault="00CD7720" w:rsidP="003674DC">
            <w:pPr>
              <w:ind w:right="231"/>
              <w:rPr>
                <w:rFonts w:ascii="Arial" w:hAnsi="Arial" w:cs="Arial"/>
              </w:rPr>
            </w:pPr>
            <w:r w:rsidRPr="003674DC">
              <w:rPr>
                <w:rFonts w:ascii="Arial" w:hAnsi="Arial" w:cs="Arial"/>
                <w:noProof/>
              </w:rPr>
              <mc:AlternateContent>
                <mc:Choice Requires="wps">
                  <w:drawing>
                    <wp:anchor distT="0" distB="0" distL="114300" distR="114300" simplePos="0" relativeHeight="251730944" behindDoc="0" locked="0" layoutInCell="1" allowOverlap="1" wp14:anchorId="56C386D4" wp14:editId="4FBF0FBD">
                      <wp:simplePos x="0" y="0"/>
                      <wp:positionH relativeFrom="column">
                        <wp:posOffset>2054860</wp:posOffset>
                      </wp:positionH>
                      <wp:positionV relativeFrom="paragraph">
                        <wp:posOffset>342075</wp:posOffset>
                      </wp:positionV>
                      <wp:extent cx="57150" cy="5715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57150" cy="57150"/>
                              </a:xfrm>
                              <a:prstGeom prst="rect">
                                <a:avLst/>
                              </a:prstGeom>
                              <a:solidFill>
                                <a:srgbClr val="005BBB"/>
                              </a:solidFill>
                              <a:ln>
                                <a:solidFill>
                                  <a:srgbClr val="005BB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13BB3" id="Rectangle 34" o:spid="_x0000_s1026" style="position:absolute;margin-left:161.8pt;margin-top:26.95pt;width:4.5pt;height: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" fillcolor="#005bbb" strokecolor="#005bbb" strokeweight="1pt"/>
                  </w:pict>
                </mc:Fallback>
              </mc:AlternateContent>
            </w:r>
            <w:r w:rsidR="0097566F" w:rsidRPr="003674DC">
              <w:rPr>
                <w:rFonts w:ascii="Arial" w:hAnsi="Arial" w:cs="Arial"/>
              </w:rPr>
              <w:t xml:space="preserve">For information about how COVID-19 may impact other areas of your practice, from tax and personal financial planning to forensic accounting, check out </w:t>
            </w:r>
            <w:hyperlink r:id="rId14" w:history="1">
              <w:r w:rsidR="0097566F" w:rsidRPr="003674DC">
                <w:rPr>
                  <w:rStyle w:val="Hyperlink"/>
                  <w:rFonts w:ascii="Arial" w:hAnsi="Arial" w:cs="Arial"/>
                </w:rPr>
                <w:t>aicpa.org/coronavirus</w:t>
              </w:r>
            </w:hyperlink>
            <w:r w:rsidR="0097566F" w:rsidRPr="003674DC">
              <w:rPr>
                <w:rFonts w:ascii="Arial" w:hAnsi="Arial" w:cs="Arial"/>
              </w:rPr>
              <w:t>.</w:t>
            </w:r>
          </w:p>
          <w:p w14:paraId="091D7C34" w14:textId="37F9D6C7" w:rsidR="0097566F" w:rsidRDefault="003448CE" w:rsidP="003448CE">
            <w:pPr>
              <w:spacing w:before="100"/>
              <w:rPr>
                <w:rFonts w:ascii="Arial" w:hAnsi="Arial" w:cs="Arial"/>
                <w:b/>
                <w:color w:val="005BBB"/>
                <w:sz w:val="26"/>
                <w:szCs w:val="26"/>
              </w:rPr>
            </w:pPr>
            <w:bookmarkStart w:id="0" w:name="_Hlk39812651"/>
            <w:r>
              <w:rPr>
                <w:rFonts w:ascii="Arial" w:hAnsi="Arial" w:cs="Arial"/>
                <w:b/>
                <w:color w:val="005BBB"/>
                <w:sz w:val="26"/>
                <w:szCs w:val="26"/>
              </w:rPr>
              <w:t>P</w:t>
            </w:r>
            <w:r w:rsidRPr="003448CE">
              <w:rPr>
                <w:rFonts w:ascii="Arial" w:hAnsi="Arial" w:cs="Arial"/>
                <w:b/>
                <w:color w:val="005BBB"/>
                <w:sz w:val="26"/>
                <w:szCs w:val="26"/>
              </w:rPr>
              <w:t xml:space="preserve">EER REVIEW </w:t>
            </w:r>
            <w:r w:rsidR="00963419">
              <w:rPr>
                <w:rFonts w:ascii="Arial" w:hAnsi="Arial" w:cs="Arial"/>
                <w:b/>
                <w:color w:val="005BBB"/>
                <w:sz w:val="26"/>
                <w:szCs w:val="26"/>
              </w:rPr>
              <w:t>BOARD APPROVES RELIEF FOR FIRMS</w:t>
            </w:r>
          </w:p>
          <w:p w14:paraId="4CEFB469" w14:textId="61E698F8" w:rsidR="00F80C57" w:rsidRDefault="00F80C57" w:rsidP="00F80C57">
            <w:pPr>
              <w:ind w:right="231"/>
              <w:rPr>
                <w:rFonts w:ascii="Arial" w:hAnsi="Arial" w:cs="Arial"/>
              </w:rPr>
            </w:pPr>
            <w:r w:rsidRPr="00F80C57">
              <w:rPr>
                <w:rFonts w:ascii="Arial" w:hAnsi="Arial" w:cs="Arial"/>
              </w:rPr>
              <w:t xml:space="preserve">In response to the COVID-19 pandemic, at its meeting on May 7, 2020, the Peer Review Board approved a six-month extension for all firms with original </w:t>
            </w:r>
            <w:r w:rsidR="0074168B">
              <w:rPr>
                <w:rFonts w:ascii="Arial" w:hAnsi="Arial" w:cs="Arial"/>
              </w:rPr>
              <w:t xml:space="preserve">peer review, corrective action and implementation plan </w:t>
            </w:r>
            <w:r w:rsidRPr="00F80C57">
              <w:rPr>
                <w:rFonts w:ascii="Arial" w:hAnsi="Arial" w:cs="Arial"/>
              </w:rPr>
              <w:t>due dates from January 1, 2020 through September 30, 2020.</w:t>
            </w:r>
            <w:r w:rsidR="0074168B">
              <w:rPr>
                <w:rFonts w:ascii="Arial" w:hAnsi="Arial" w:cs="Arial"/>
              </w:rPr>
              <w:t xml:space="preserve"> The AICPA implemented t</w:t>
            </w:r>
            <w:r w:rsidRPr="00F80C57">
              <w:rPr>
                <w:rFonts w:ascii="Arial" w:hAnsi="Arial" w:cs="Arial"/>
              </w:rPr>
              <w:t>hese extensio</w:t>
            </w:r>
            <w:r w:rsidR="0074168B">
              <w:rPr>
                <w:rFonts w:ascii="Arial" w:hAnsi="Arial" w:cs="Arial"/>
              </w:rPr>
              <w:t>ns earlier this month</w:t>
            </w:r>
            <w:r w:rsidRPr="00F80C57">
              <w:rPr>
                <w:rFonts w:ascii="Arial" w:hAnsi="Arial" w:cs="Arial"/>
              </w:rPr>
              <w:t xml:space="preserve"> and each impacted firm receive</w:t>
            </w:r>
            <w:r w:rsidR="0074168B">
              <w:rPr>
                <w:rFonts w:ascii="Arial" w:hAnsi="Arial" w:cs="Arial"/>
              </w:rPr>
              <w:t>d</w:t>
            </w:r>
            <w:r w:rsidRPr="00F80C57">
              <w:rPr>
                <w:rFonts w:ascii="Arial" w:hAnsi="Arial" w:cs="Arial"/>
              </w:rPr>
              <w:t xml:space="preserve"> a</w:t>
            </w:r>
            <w:r w:rsidR="00656D41">
              <w:rPr>
                <w:rFonts w:ascii="Arial" w:hAnsi="Arial" w:cs="Arial"/>
              </w:rPr>
              <w:t xml:space="preserve"> detailed</w:t>
            </w:r>
            <w:r w:rsidR="005F2B3B">
              <w:rPr>
                <w:rFonts w:ascii="Arial" w:hAnsi="Arial" w:cs="Arial"/>
              </w:rPr>
              <w:t xml:space="preserve"> </w:t>
            </w:r>
            <w:r w:rsidRPr="00F80C57">
              <w:rPr>
                <w:rFonts w:ascii="Arial" w:hAnsi="Arial" w:cs="Arial"/>
              </w:rPr>
              <w:t xml:space="preserve">email </w:t>
            </w:r>
            <w:r w:rsidR="00051AEE">
              <w:rPr>
                <w:rFonts w:ascii="Arial" w:hAnsi="Arial" w:cs="Arial"/>
              </w:rPr>
              <w:t>followed by</w:t>
            </w:r>
            <w:r w:rsidR="005F2B3B">
              <w:rPr>
                <w:rFonts w:ascii="Arial" w:hAnsi="Arial" w:cs="Arial"/>
              </w:rPr>
              <w:t xml:space="preserve"> a </w:t>
            </w:r>
            <w:r w:rsidR="00C56900">
              <w:rPr>
                <w:rFonts w:ascii="Arial" w:hAnsi="Arial" w:cs="Arial"/>
              </w:rPr>
              <w:t xml:space="preserve">separate </w:t>
            </w:r>
            <w:r w:rsidR="005F2B3B">
              <w:rPr>
                <w:rFonts w:ascii="Arial" w:hAnsi="Arial" w:cs="Arial"/>
              </w:rPr>
              <w:t xml:space="preserve">PRIMA </w:t>
            </w:r>
            <w:r w:rsidRPr="00F80C57">
              <w:rPr>
                <w:rFonts w:ascii="Arial" w:hAnsi="Arial" w:cs="Arial"/>
              </w:rPr>
              <w:t>notification</w:t>
            </w:r>
            <w:r w:rsidR="00656D41">
              <w:rPr>
                <w:rFonts w:ascii="Arial" w:hAnsi="Arial" w:cs="Arial"/>
              </w:rPr>
              <w:t xml:space="preserve"> email</w:t>
            </w:r>
            <w:r w:rsidRPr="00F80C57">
              <w:rPr>
                <w:rFonts w:ascii="Arial" w:hAnsi="Arial" w:cs="Arial"/>
              </w:rPr>
              <w:t xml:space="preserve"> that </w:t>
            </w:r>
            <w:r w:rsidR="005F2B3B">
              <w:rPr>
                <w:rFonts w:ascii="Arial" w:hAnsi="Arial" w:cs="Arial"/>
              </w:rPr>
              <w:t>the extension</w:t>
            </w:r>
            <w:r w:rsidRPr="00F80C57">
              <w:rPr>
                <w:rFonts w:ascii="Arial" w:hAnsi="Arial" w:cs="Arial"/>
              </w:rPr>
              <w:t xml:space="preserve"> letter </w:t>
            </w:r>
            <w:r w:rsidR="003851FD">
              <w:rPr>
                <w:rFonts w:ascii="Arial" w:hAnsi="Arial" w:cs="Arial"/>
              </w:rPr>
              <w:t>wa</w:t>
            </w:r>
            <w:r w:rsidRPr="00F80C57">
              <w:rPr>
                <w:rFonts w:ascii="Arial" w:hAnsi="Arial" w:cs="Arial"/>
              </w:rPr>
              <w:t xml:space="preserve">s available in the system. </w:t>
            </w:r>
          </w:p>
          <w:bookmarkEnd w:id="0"/>
          <w:p w14:paraId="1CAB77F2" w14:textId="77777777" w:rsidR="008D6EEE" w:rsidRPr="008D6EEE" w:rsidRDefault="008D6EEE" w:rsidP="008D6EEE">
            <w:pPr>
              <w:ind w:right="231"/>
              <w:rPr>
                <w:rFonts w:ascii="Arial" w:hAnsi="Arial" w:cs="Arial"/>
              </w:rPr>
            </w:pPr>
            <w:r w:rsidRPr="00F80C57">
              <w:rPr>
                <w:rFonts w:ascii="Arial" w:hAnsi="Arial" w:cs="Arial"/>
              </w:rPr>
              <w:t>It is critically important that firms log</w:t>
            </w:r>
            <w:r>
              <w:rPr>
                <w:rFonts w:ascii="Arial" w:hAnsi="Arial" w:cs="Arial"/>
              </w:rPr>
              <w:t xml:space="preserve"> </w:t>
            </w:r>
            <w:r w:rsidRPr="00F80C57">
              <w:rPr>
                <w:rFonts w:ascii="Arial" w:hAnsi="Arial" w:cs="Arial"/>
              </w:rPr>
              <w:t xml:space="preserve">in to PRIMA and read this letter to understand additional impacts and to view the revised due date. </w:t>
            </w:r>
            <w:r>
              <w:rPr>
                <w:rFonts w:ascii="Arial" w:hAnsi="Arial" w:cs="Arial"/>
              </w:rPr>
              <w:t xml:space="preserve">If your </w:t>
            </w:r>
            <w:r w:rsidRPr="00F80C57">
              <w:rPr>
                <w:rFonts w:ascii="Arial" w:hAnsi="Arial" w:cs="Arial"/>
              </w:rPr>
              <w:t>firm</w:t>
            </w:r>
            <w:r>
              <w:rPr>
                <w:rFonts w:ascii="Arial" w:hAnsi="Arial" w:cs="Arial"/>
              </w:rPr>
              <w:t>’s review has been extended, please</w:t>
            </w:r>
            <w:r w:rsidRPr="00F80C57">
              <w:rPr>
                <w:rFonts w:ascii="Arial" w:hAnsi="Arial" w:cs="Arial"/>
              </w:rPr>
              <w:t xml:space="preserve"> </w:t>
            </w:r>
            <w:r>
              <w:rPr>
                <w:rFonts w:ascii="Arial" w:hAnsi="Arial" w:cs="Arial"/>
              </w:rPr>
              <w:t>contact us as soon as you can so we can plan to perform your</w:t>
            </w:r>
            <w:r w:rsidRPr="00F80C57">
              <w:rPr>
                <w:rFonts w:ascii="Arial" w:hAnsi="Arial" w:cs="Arial"/>
              </w:rPr>
              <w:t xml:space="preserve"> review at a </w:t>
            </w:r>
            <w:r>
              <w:rPr>
                <w:rFonts w:ascii="Arial" w:hAnsi="Arial" w:cs="Arial"/>
              </w:rPr>
              <w:t xml:space="preserve">mutually convenient </w:t>
            </w:r>
            <w:r w:rsidRPr="00F80C57">
              <w:rPr>
                <w:rFonts w:ascii="Arial" w:hAnsi="Arial" w:cs="Arial"/>
              </w:rPr>
              <w:t>time</w:t>
            </w:r>
            <w:r>
              <w:rPr>
                <w:rFonts w:ascii="Arial" w:hAnsi="Arial" w:cs="Arial"/>
              </w:rPr>
              <w:t xml:space="preserve">. Deferring the due date, though providing welcome relief now, will cause the </w:t>
            </w:r>
            <w:r w:rsidRPr="008D6EEE">
              <w:rPr>
                <w:rFonts w:ascii="Arial" w:hAnsi="Arial" w:cs="Arial"/>
              </w:rPr>
              <w:t>latter part of this year to be quite busy and we want to be able to serve you.</w:t>
            </w:r>
          </w:p>
          <w:p w14:paraId="6AEBC878" w14:textId="176A56E1" w:rsidR="008D6EEE" w:rsidRPr="008027D0" w:rsidRDefault="00C56900" w:rsidP="008D6EEE">
            <w:pPr>
              <w:ind w:right="231"/>
              <w:rPr>
                <w:rFonts w:ascii="Arial" w:hAnsi="Arial" w:cs="Arial"/>
                <w:highlight w:val="lightGray"/>
              </w:rPr>
            </w:pPr>
            <w:r w:rsidRPr="003674DC">
              <w:rPr>
                <w:rFonts w:ascii="Arial" w:hAnsi="Arial" w:cs="Arial"/>
                <w:noProof/>
                <w:color w:val="005BBB"/>
              </w:rPr>
              <mc:AlternateContent>
                <mc:Choice Requires="wps">
                  <w:drawing>
                    <wp:anchor distT="0" distB="0" distL="114300" distR="114300" simplePos="0" relativeHeight="251741184" behindDoc="0" locked="0" layoutInCell="1" allowOverlap="1" wp14:anchorId="0726CCF4" wp14:editId="5DCF7780">
                      <wp:simplePos x="0" y="0"/>
                      <wp:positionH relativeFrom="column">
                        <wp:posOffset>1873123</wp:posOffset>
                      </wp:positionH>
                      <wp:positionV relativeFrom="paragraph">
                        <wp:posOffset>675615</wp:posOffset>
                      </wp:positionV>
                      <wp:extent cx="57150" cy="571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57150" cy="57150"/>
                              </a:xfrm>
                              <a:prstGeom prst="rect">
                                <a:avLst/>
                              </a:prstGeom>
                              <a:solidFill>
                                <a:srgbClr val="005BBB"/>
                              </a:solidFill>
                              <a:ln>
                                <a:solidFill>
                                  <a:srgbClr val="005BB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B6C1D" id="Rectangle 8" o:spid="_x0000_s1026" style="position:absolute;margin-left:147.5pt;margin-top:53.2pt;width:4.5pt;height: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" fillcolor="#005bbb" strokecolor="#005bbb" strokeweight="1pt"/>
                  </w:pict>
                </mc:Fallback>
              </mc:AlternateContent>
            </w:r>
            <w:r w:rsidR="008D6EEE" w:rsidRPr="008D6EEE">
              <w:rPr>
                <w:rFonts w:ascii="Arial" w:hAnsi="Arial" w:cs="Arial"/>
              </w:rPr>
              <w:t xml:space="preserve">The six-month extension was the most recent action taken by the PRB, with </w:t>
            </w:r>
            <w:r w:rsidR="008D6EEE">
              <w:rPr>
                <w:rFonts w:ascii="Arial" w:hAnsi="Arial" w:cs="Arial"/>
              </w:rPr>
              <w:t xml:space="preserve">allowances for </w:t>
            </w:r>
            <w:r>
              <w:rPr>
                <w:rFonts w:ascii="Arial" w:hAnsi="Arial" w:cs="Arial"/>
              </w:rPr>
              <w:t>remote</w:t>
            </w:r>
            <w:r w:rsidR="008D6EEE">
              <w:rPr>
                <w:rFonts w:ascii="Arial" w:hAnsi="Arial" w:cs="Arial"/>
              </w:rPr>
              <w:t xml:space="preserve"> system reviews, temporary extensions</w:t>
            </w:r>
            <w:r>
              <w:rPr>
                <w:rFonts w:ascii="Arial" w:hAnsi="Arial" w:cs="Arial"/>
              </w:rPr>
              <w:t xml:space="preserve"> and</w:t>
            </w:r>
            <w:r w:rsidR="008D6EEE">
              <w:rPr>
                <w:rFonts w:ascii="Arial" w:hAnsi="Arial" w:cs="Arial"/>
              </w:rPr>
              <w:t xml:space="preserve"> temporary changes to reviewer and firm fair procedures</w:t>
            </w:r>
            <w:r>
              <w:rPr>
                <w:rFonts w:ascii="Arial" w:hAnsi="Arial" w:cs="Arial"/>
              </w:rPr>
              <w:t xml:space="preserve"> </w:t>
            </w:r>
            <w:r w:rsidR="00656D41">
              <w:rPr>
                <w:rFonts w:ascii="Arial" w:hAnsi="Arial" w:cs="Arial"/>
              </w:rPr>
              <w:t xml:space="preserve">approved earlier in the year. </w:t>
            </w:r>
            <w:r w:rsidR="008D6EEE">
              <w:rPr>
                <w:rFonts w:ascii="Arial" w:hAnsi="Arial" w:cs="Arial"/>
              </w:rPr>
              <w:t xml:space="preserve">You can access the </w:t>
            </w:r>
            <w:hyperlink r:id="rId15" w:history="1">
              <w:r w:rsidR="008D6EEE" w:rsidRPr="008D6EEE">
                <w:rPr>
                  <w:rStyle w:val="Hyperlink"/>
                  <w:rFonts w:ascii="Arial" w:hAnsi="Arial" w:cs="Arial"/>
                </w:rPr>
                <w:t>March Reviewer Alert</w:t>
              </w:r>
            </w:hyperlink>
            <w:r w:rsidR="008D6EEE">
              <w:rPr>
                <w:rFonts w:ascii="Arial" w:hAnsi="Arial" w:cs="Arial"/>
              </w:rPr>
              <w:t xml:space="preserve"> or the </w:t>
            </w:r>
            <w:hyperlink r:id="rId16" w:history="1">
              <w:r w:rsidR="008D6EEE" w:rsidRPr="008D6EEE">
                <w:rPr>
                  <w:rStyle w:val="Hyperlink"/>
                  <w:rFonts w:ascii="Arial" w:hAnsi="Arial" w:cs="Arial"/>
                </w:rPr>
                <w:t>April 2020 Open Session Highlights</w:t>
              </w:r>
            </w:hyperlink>
            <w:r w:rsidR="008D6EEE">
              <w:rPr>
                <w:rFonts w:ascii="Arial" w:hAnsi="Arial" w:cs="Arial"/>
              </w:rPr>
              <w:t xml:space="preserve"> for details.</w:t>
            </w:r>
            <w:r>
              <w:rPr>
                <w:rFonts w:ascii="Arial" w:hAnsi="Arial" w:cs="Arial"/>
              </w:rPr>
              <w:t xml:space="preserve"> </w:t>
            </w:r>
          </w:p>
        </w:tc>
        <w:tc>
          <w:tcPr>
            <w:tcW w:w="1590" w:type="pct"/>
            <w:tcBorders>
              <w:top w:val="single" w:sz="12" w:space="0" w:color="005BBB"/>
              <w:left w:val="single" w:sz="12" w:space="0" w:color="005BBB"/>
              <w:bottom w:val="single" w:sz="12" w:space="0" w:color="005BBB"/>
              <w:right w:val="single" w:sz="12" w:space="0" w:color="005BBB"/>
            </w:tcBorders>
            <w:shd w:val="clear" w:color="auto" w:fill="F2F2F2" w:themeFill="background1" w:themeFillShade="F2"/>
            <w:tcMar>
              <w:left w:w="216" w:type="dxa"/>
              <w:right w:w="216" w:type="dxa"/>
            </w:tcMar>
          </w:tcPr>
          <w:p w14:paraId="566B6BA2" w14:textId="79BF63B1" w:rsidR="003448CE" w:rsidRPr="003448CE" w:rsidRDefault="003448CE" w:rsidP="003C7AC1">
            <w:pPr>
              <w:spacing w:before="100" w:line="259" w:lineRule="auto"/>
              <w:rPr>
                <w:rFonts w:ascii="Arial" w:hAnsi="Arial" w:cs="Arial"/>
                <w:b/>
                <w:color w:val="005BBB"/>
                <w:sz w:val="36"/>
                <w:szCs w:val="36"/>
              </w:rPr>
            </w:pPr>
            <w:r w:rsidRPr="003448CE">
              <w:rPr>
                <w:rFonts w:ascii="Arial" w:hAnsi="Arial" w:cs="Arial"/>
                <w:b/>
                <w:color w:val="005BBB"/>
                <w:sz w:val="36"/>
                <w:szCs w:val="36"/>
              </w:rPr>
              <w:t xml:space="preserve">Ready, Set, Implement: News on A&amp;A Standards </w:t>
            </w:r>
          </w:p>
          <w:p w14:paraId="727686AF" w14:textId="78F7D320" w:rsidR="0097566F" w:rsidRPr="003448CE" w:rsidRDefault="003448CE" w:rsidP="003C7AC1">
            <w:pPr>
              <w:spacing w:before="100" w:line="259" w:lineRule="auto"/>
              <w:rPr>
                <w:rFonts w:ascii="Arial" w:hAnsi="Arial" w:cs="Arial"/>
                <w:b/>
                <w:i/>
                <w:iCs/>
                <w:color w:val="005BBB"/>
                <w:sz w:val="26"/>
                <w:szCs w:val="26"/>
              </w:rPr>
            </w:pPr>
            <w:r w:rsidRPr="003448CE">
              <w:rPr>
                <w:rFonts w:ascii="Arial" w:hAnsi="Arial" w:cs="Arial"/>
                <w:b/>
                <w:i/>
                <w:iCs/>
                <w:color w:val="005BBB"/>
                <w:sz w:val="26"/>
                <w:szCs w:val="26"/>
              </w:rPr>
              <w:t>D</w:t>
            </w:r>
            <w:r w:rsidR="00076B79" w:rsidRPr="003448CE">
              <w:rPr>
                <w:rFonts w:ascii="Arial" w:hAnsi="Arial" w:cs="Arial"/>
                <w:b/>
                <w:i/>
                <w:iCs/>
                <w:color w:val="005BBB"/>
                <w:sz w:val="26"/>
                <w:szCs w:val="26"/>
              </w:rPr>
              <w:t xml:space="preserve">eferral of </w:t>
            </w:r>
            <w:r w:rsidR="003674DC" w:rsidRPr="003448CE">
              <w:rPr>
                <w:rFonts w:ascii="Arial" w:hAnsi="Arial" w:cs="Arial"/>
                <w:b/>
                <w:i/>
                <w:iCs/>
                <w:color w:val="005BBB"/>
                <w:sz w:val="26"/>
                <w:szCs w:val="26"/>
              </w:rPr>
              <w:t xml:space="preserve">effective dates for </w:t>
            </w:r>
            <w:r w:rsidR="00076B79" w:rsidRPr="003448CE">
              <w:rPr>
                <w:rFonts w:ascii="Arial" w:hAnsi="Arial" w:cs="Arial"/>
                <w:b/>
                <w:i/>
                <w:iCs/>
                <w:color w:val="005BBB"/>
                <w:sz w:val="26"/>
                <w:szCs w:val="26"/>
              </w:rPr>
              <w:t>SAS Nos. 134-140</w:t>
            </w:r>
          </w:p>
          <w:p w14:paraId="663EBCDD" w14:textId="6F4868A0" w:rsidR="00076B79" w:rsidRPr="003674DC" w:rsidRDefault="00076B79" w:rsidP="00076B79">
            <w:pPr>
              <w:spacing w:after="0" w:line="259" w:lineRule="auto"/>
              <w:rPr>
                <w:rFonts w:ascii="Arial" w:hAnsi="Arial" w:cs="Arial"/>
                <w:bCs/>
              </w:rPr>
            </w:pPr>
            <w:bookmarkStart w:id="1" w:name="_Hlk23506971"/>
            <w:r w:rsidRPr="003674DC">
              <w:rPr>
                <w:rFonts w:ascii="Arial" w:hAnsi="Arial" w:cs="Arial"/>
                <w:bCs/>
              </w:rPr>
              <w:t xml:space="preserve">At a special open meeting on April 20, 2020, the </w:t>
            </w:r>
            <w:hyperlink r:id="rId17" w:history="1">
              <w:r w:rsidRPr="003674DC">
                <w:rPr>
                  <w:rStyle w:val="Hyperlink"/>
                  <w:rFonts w:ascii="Arial" w:hAnsi="Arial" w:cs="Arial"/>
                  <w:bCs/>
                </w:rPr>
                <w:t>Auditing Standards Board</w:t>
              </w:r>
            </w:hyperlink>
            <w:r w:rsidRPr="003674DC">
              <w:rPr>
                <w:rFonts w:ascii="Arial" w:hAnsi="Arial" w:cs="Arial"/>
                <w:bCs/>
              </w:rPr>
              <w:t xml:space="preserve"> (ASB) agreed to defer implementation of the seven most recently issued Statements on Auditing Standards (SASs). SAS Nos. 134-140, which, among other things, substantially change the auditor’s report, will be deferred one year and are now generally effective for audits of calendar year-end 2021 financial statements. </w:t>
            </w:r>
          </w:p>
          <w:p w14:paraId="707F27CE" w14:textId="77777777" w:rsidR="00076B79" w:rsidRPr="003674DC" w:rsidRDefault="00076B79" w:rsidP="00076B79">
            <w:pPr>
              <w:spacing w:after="0" w:line="259" w:lineRule="auto"/>
              <w:rPr>
                <w:rFonts w:ascii="Arial" w:hAnsi="Arial" w:cs="Arial"/>
                <w:bCs/>
              </w:rPr>
            </w:pPr>
          </w:p>
          <w:p w14:paraId="6B912205" w14:textId="65F515E3" w:rsidR="00076B79" w:rsidRPr="003674DC" w:rsidRDefault="00076B79" w:rsidP="00076B79">
            <w:pPr>
              <w:spacing w:after="0" w:line="259" w:lineRule="auto"/>
              <w:rPr>
                <w:rFonts w:ascii="Arial" w:hAnsi="Arial" w:cs="Arial"/>
                <w:bCs/>
              </w:rPr>
            </w:pPr>
            <w:r w:rsidRPr="003674DC">
              <w:rPr>
                <w:rFonts w:ascii="Arial" w:hAnsi="Arial" w:cs="Arial"/>
                <w:bCs/>
              </w:rPr>
              <w:t xml:space="preserve">For those standards where there was a prohibition against early implementation, the ban has been lifted so that firms that are prepared to implement the standards this year will be permitted to do so. SAS Nos. 134 –140 are interrelated as the auditor reporting model adopted in SAS No. 134 was amended by the subsequent SASs. Primarily for that reason, the effective dates of SAS Nos. 134-140 were aligned so that these SASs would be implemented as a suite. </w:t>
            </w:r>
          </w:p>
          <w:p w14:paraId="6EA07158" w14:textId="47989E6E" w:rsidR="00076B79" w:rsidRPr="003674DC" w:rsidRDefault="00076B79" w:rsidP="00076B79">
            <w:pPr>
              <w:spacing w:after="0" w:line="259" w:lineRule="auto"/>
              <w:rPr>
                <w:rFonts w:ascii="Arial" w:hAnsi="Arial" w:cs="Arial"/>
                <w:bCs/>
              </w:rPr>
            </w:pPr>
          </w:p>
          <w:p w14:paraId="43F8C765" w14:textId="115C7C1B" w:rsidR="0097566F" w:rsidRPr="00E07FA4" w:rsidRDefault="00076B79" w:rsidP="00076B79">
            <w:pPr>
              <w:spacing w:after="0" w:line="259" w:lineRule="auto"/>
              <w:rPr>
                <w:rFonts w:cs="Arial"/>
              </w:rPr>
            </w:pPr>
            <w:r w:rsidRPr="003674DC">
              <w:rPr>
                <w:rFonts w:ascii="Arial" w:hAnsi="Arial" w:cs="Arial"/>
                <w:bCs/>
              </w:rPr>
              <w:t>Accordingly, the ASB recommends that all these SASs be implemented concurrently.</w:t>
            </w:r>
            <w:bookmarkEnd w:id="1"/>
            <w:r w:rsidR="0097566F" w:rsidRPr="003674DC">
              <w:rPr>
                <w:rFonts w:ascii="Arial" w:hAnsi="Arial" w:cs="Arial"/>
              </w:rPr>
              <w:t xml:space="preserve"> </w:t>
            </w:r>
          </w:p>
        </w:tc>
      </w:tr>
    </w:tbl>
    <w:tbl>
      <w:tblPr>
        <w:tblpPr w:leftFromText="180" w:rightFromText="180" w:vertAnchor="text" w:horzAnchor="margin" w:tblpXSpec="center" w:tblpY="-118"/>
        <w:tblOverlap w:val="never"/>
        <w:tblW w:w="5324" w:type="pct"/>
        <w:tblBorders>
          <w:top w:val="single" w:sz="12" w:space="0" w:color="005BBB"/>
          <w:left w:val="single" w:sz="12" w:space="0" w:color="005BBB"/>
          <w:bottom w:val="single" w:sz="12" w:space="0" w:color="005BBB"/>
          <w:right w:val="single" w:sz="12" w:space="0" w:color="005BBB"/>
        </w:tblBorders>
        <w:tblCellMar>
          <w:left w:w="115" w:type="dxa"/>
          <w:right w:w="115" w:type="dxa"/>
        </w:tblCellMar>
        <w:tblLook w:val="0600" w:firstRow="0" w:lastRow="0" w:firstColumn="0" w:lastColumn="0" w:noHBand="1" w:noVBand="1"/>
        <w:tblDescription w:val="Layout table page 1"/>
      </w:tblPr>
      <w:tblGrid>
        <w:gridCol w:w="11468"/>
      </w:tblGrid>
      <w:tr w:rsidR="00A84A06" w:rsidRPr="005529FF" w14:paraId="0D2303EA" w14:textId="77777777" w:rsidTr="00651003">
        <w:trPr>
          <w:trHeight w:val="576"/>
        </w:trPr>
        <w:tc>
          <w:tcPr>
            <w:tcW w:w="5000" w:type="pct"/>
            <w:shd w:val="clear" w:color="auto" w:fill="005BBB"/>
            <w:tcMar>
              <w:right w:w="216" w:type="dxa"/>
            </w:tcMar>
            <w:vAlign w:val="bottom"/>
          </w:tcPr>
          <w:p w14:paraId="37C49F60" w14:textId="4B74C262" w:rsidR="00A84A06" w:rsidRPr="00651003" w:rsidRDefault="00651003" w:rsidP="00651003">
            <w:pPr>
              <w:rPr>
                <w:rFonts w:ascii="Arial" w:hAnsi="Arial" w:cs="Arial"/>
                <w:b/>
                <w:bCs/>
                <w:sz w:val="28"/>
                <w:szCs w:val="28"/>
              </w:rPr>
            </w:pPr>
            <w:r w:rsidRPr="00651003">
              <w:rPr>
                <w:rFonts w:ascii="Arial" w:hAnsi="Arial" w:cs="Arial"/>
                <w:b/>
                <w:bCs/>
                <w:color w:val="FFFFFF" w:themeColor="background1"/>
                <w:sz w:val="28"/>
                <w:szCs w:val="28"/>
              </w:rPr>
              <w:lastRenderedPageBreak/>
              <w:t>Resources from the AICPA’s Enhancing Audit Quality (EAQ)</w:t>
            </w:r>
            <w:r w:rsidRPr="00651003">
              <w:rPr>
                <w:b/>
                <w:bCs/>
                <w:color w:val="FFFFFF" w:themeColor="background1"/>
                <w:sz w:val="28"/>
                <w:szCs w:val="28"/>
              </w:rPr>
              <w:t xml:space="preserve"> </w:t>
            </w:r>
            <w:r w:rsidRPr="00651003">
              <w:rPr>
                <w:rFonts w:ascii="Arial" w:hAnsi="Arial" w:cs="Arial"/>
                <w:b/>
                <w:bCs/>
                <w:color w:val="FFFFFF" w:themeColor="background1"/>
                <w:sz w:val="28"/>
                <w:szCs w:val="28"/>
              </w:rPr>
              <w:t>Initiative</w:t>
            </w:r>
          </w:p>
        </w:tc>
      </w:tr>
      <w:tr w:rsidR="006F0B99" w:rsidRPr="005529FF" w14:paraId="7C8DB4EF" w14:textId="77777777" w:rsidTr="00A84A06">
        <w:trPr>
          <w:trHeight w:val="12902"/>
        </w:trPr>
        <w:tc>
          <w:tcPr>
            <w:tcW w:w="5000" w:type="pct"/>
            <w:shd w:val="clear" w:color="auto" w:fill="FFFFFF" w:themeFill="background1"/>
            <w:tcMar>
              <w:right w:w="216" w:type="dxa"/>
            </w:tcMar>
          </w:tcPr>
          <w:p w14:paraId="169456F4" w14:textId="77777777" w:rsidR="00A84A06" w:rsidRDefault="00A84A06" w:rsidP="00051AEE">
            <w:pPr>
              <w:spacing w:after="0"/>
              <w:rPr>
                <w:rFonts w:ascii="Arial" w:hAnsi="Arial" w:cs="Arial"/>
              </w:rPr>
            </w:pPr>
          </w:p>
          <w:p w14:paraId="3ECA8996" w14:textId="12DBD558" w:rsidR="006F0B99" w:rsidRPr="00102AFE" w:rsidRDefault="006F0B99" w:rsidP="00ED39F9">
            <w:pPr>
              <w:rPr>
                <w:rFonts w:ascii="Arial" w:hAnsi="Arial" w:cs="Arial"/>
                <w:b/>
              </w:rPr>
            </w:pPr>
            <w:r w:rsidRPr="00102AFE">
              <w:rPr>
                <w:rFonts w:ascii="Arial" w:hAnsi="Arial" w:cs="Arial"/>
              </w:rPr>
              <w:t xml:space="preserve">Through the </w:t>
            </w:r>
            <w:hyperlink r:id="rId18" w:history="1">
              <w:r w:rsidRPr="00102AFE">
                <w:rPr>
                  <w:rStyle w:val="Hyperlink"/>
                  <w:rFonts w:ascii="Arial" w:hAnsi="Arial" w:cs="Arial"/>
                </w:rPr>
                <w:t>EAQ</w:t>
              </w:r>
            </w:hyperlink>
            <w:r w:rsidRPr="00102AFE">
              <w:rPr>
                <w:rFonts w:ascii="Arial" w:hAnsi="Arial" w:cs="Arial"/>
              </w:rPr>
              <w:t xml:space="preserve">, </w:t>
            </w:r>
            <w:r>
              <w:t xml:space="preserve"> </w:t>
            </w:r>
            <w:r w:rsidRPr="00D019E2">
              <w:rPr>
                <w:rFonts w:ascii="Arial" w:hAnsi="Arial" w:cs="Arial"/>
              </w:rPr>
              <w:t xml:space="preserve">the AICPA shares resources and education to help you avoid the most common audit quality issues. Check out </w:t>
            </w:r>
            <w:r>
              <w:rPr>
                <w:rFonts w:ascii="Arial" w:hAnsi="Arial" w:cs="Arial"/>
              </w:rPr>
              <w:t>the</w:t>
            </w:r>
            <w:r w:rsidRPr="00D019E2">
              <w:rPr>
                <w:rFonts w:ascii="Arial" w:hAnsi="Arial" w:cs="Arial"/>
              </w:rPr>
              <w:t xml:space="preserve"> latest resources</w:t>
            </w:r>
            <w:r w:rsidRPr="00102AFE">
              <w:rPr>
                <w:rFonts w:ascii="Arial" w:hAnsi="Arial" w:cs="Arial"/>
              </w:rPr>
              <w:t>:</w:t>
            </w:r>
          </w:p>
          <w:p w14:paraId="7B0D0519" w14:textId="77777777" w:rsidR="006F0B99" w:rsidRDefault="006F0B99" w:rsidP="00ED39F9">
            <w:pPr>
              <w:rPr>
                <w:rFonts w:ascii="Arial" w:hAnsi="Arial" w:cs="Arial"/>
                <w:b/>
                <w:bCs/>
                <w:iCs/>
                <w:color w:val="005BBB"/>
                <w:sz w:val="26"/>
                <w:szCs w:val="26"/>
              </w:rPr>
            </w:pPr>
            <w:r>
              <w:rPr>
                <w:rFonts w:ascii="Arial" w:hAnsi="Arial" w:cs="Arial"/>
                <w:b/>
                <w:bCs/>
                <w:iCs/>
                <w:color w:val="005BBB"/>
                <w:sz w:val="26"/>
                <w:szCs w:val="26"/>
              </w:rPr>
              <w:t>COVID-19 Audit Implications</w:t>
            </w:r>
          </w:p>
          <w:p w14:paraId="3D898678" w14:textId="77777777" w:rsidR="006F0B99" w:rsidRPr="00767BF2" w:rsidRDefault="006F0B99" w:rsidP="00ED39F9">
            <w:pPr>
              <w:rPr>
                <w:rFonts w:ascii="Arial" w:hAnsi="Arial" w:cs="Arial"/>
              </w:rPr>
            </w:pPr>
            <w:r w:rsidRPr="00767BF2">
              <w:rPr>
                <w:rFonts w:ascii="Arial" w:hAnsi="Arial" w:cs="Arial"/>
              </w:rPr>
              <w:t xml:space="preserve">If you need information regarding auditing in the current environment visit the AICPA COVID Resource Center at </w:t>
            </w:r>
            <w:hyperlink r:id="rId19" w:history="1">
              <w:r w:rsidRPr="00767BF2">
                <w:rPr>
                  <w:rStyle w:val="Hyperlink"/>
                  <w:rFonts w:ascii="Arial" w:hAnsi="Arial" w:cs="Arial"/>
                </w:rPr>
                <w:t>aicpa.org/covidaudit</w:t>
              </w:r>
            </w:hyperlink>
            <w:r w:rsidRPr="00767BF2">
              <w:rPr>
                <w:rFonts w:ascii="Arial" w:hAnsi="Arial" w:cs="Arial"/>
              </w:rPr>
              <w:t xml:space="preserve"> or sign up for</w:t>
            </w:r>
            <w:r>
              <w:rPr>
                <w:rFonts w:ascii="Arial" w:hAnsi="Arial" w:cs="Arial"/>
              </w:rPr>
              <w:t xml:space="preserve"> </w:t>
            </w:r>
            <w:r w:rsidRPr="00E4387F">
              <w:rPr>
                <w:rFonts w:ascii="Arial" w:hAnsi="Arial" w:cs="Arial"/>
              </w:rPr>
              <w:t>the</w:t>
            </w:r>
            <w:r>
              <w:rPr>
                <w:rFonts w:ascii="Arial" w:hAnsi="Arial" w:cs="Arial"/>
              </w:rPr>
              <w:t xml:space="preserve"> AICPA</w:t>
            </w:r>
            <w:r w:rsidRPr="00E4387F">
              <w:rPr>
                <w:rFonts w:ascii="Arial" w:hAnsi="Arial" w:cs="Arial"/>
              </w:rPr>
              <w:t xml:space="preserve"> </w:t>
            </w:r>
            <w:hyperlink r:id="rId20" w:history="1">
              <w:r>
                <w:rPr>
                  <w:rStyle w:val="Hyperlink"/>
                  <w:rFonts w:ascii="Arial" w:hAnsi="Arial" w:cs="Arial"/>
                  <w:i/>
                  <w:iCs/>
                </w:rPr>
                <w:t>COVID-19 Audit Implications</w:t>
              </w:r>
            </w:hyperlink>
            <w:r>
              <w:rPr>
                <w:rFonts w:ascii="Arial" w:hAnsi="Arial" w:cs="Arial"/>
                <w:i/>
                <w:iCs/>
              </w:rPr>
              <w:t xml:space="preserve"> </w:t>
            </w:r>
            <w:r w:rsidRPr="00E4387F">
              <w:rPr>
                <w:rFonts w:ascii="Arial" w:hAnsi="Arial" w:cs="Arial"/>
              </w:rPr>
              <w:t>webcast</w:t>
            </w:r>
            <w:r>
              <w:rPr>
                <w:rFonts w:ascii="Arial" w:hAnsi="Arial" w:cs="Arial"/>
              </w:rPr>
              <w:t>, where Bob Dohrer, AICPA chief auditor, and Mike Manspeaker, CPA, will answer questions submitted by hundreds of practitioners.</w:t>
            </w:r>
          </w:p>
          <w:p w14:paraId="5FF88322" w14:textId="77777777" w:rsidR="006F0B99" w:rsidRPr="00D019E2" w:rsidRDefault="006F0B99" w:rsidP="00ED39F9">
            <w:pPr>
              <w:rPr>
                <w:rFonts w:ascii="Arial" w:hAnsi="Arial" w:cs="Arial"/>
                <w:b/>
                <w:bCs/>
                <w:iCs/>
                <w:color w:val="005BBB"/>
                <w:sz w:val="26"/>
                <w:szCs w:val="26"/>
              </w:rPr>
            </w:pPr>
            <w:r w:rsidRPr="00D019E2">
              <w:rPr>
                <w:rFonts w:ascii="Arial" w:hAnsi="Arial" w:cs="Arial"/>
                <w:b/>
                <w:bCs/>
                <w:iCs/>
                <w:color w:val="005BBB"/>
                <w:sz w:val="26"/>
                <w:szCs w:val="26"/>
              </w:rPr>
              <w:t>Auditing Revenue Recognition</w:t>
            </w:r>
          </w:p>
          <w:p w14:paraId="5BCB8B83" w14:textId="77777777" w:rsidR="006F0B99" w:rsidRPr="00D019E2" w:rsidRDefault="006F0B99" w:rsidP="00ED39F9">
            <w:pPr>
              <w:rPr>
                <w:rFonts w:ascii="Arial" w:hAnsi="Arial" w:cs="Arial"/>
              </w:rPr>
            </w:pPr>
            <w:r>
              <w:rPr>
                <w:noProof/>
              </w:rPr>
              <w:drawing>
                <wp:anchor distT="0" distB="0" distL="114300" distR="114300" simplePos="0" relativeHeight="251745280" behindDoc="1" locked="0" layoutInCell="1" allowOverlap="1" wp14:anchorId="6F606723" wp14:editId="6061A56B">
                  <wp:simplePos x="0" y="0"/>
                  <wp:positionH relativeFrom="column">
                    <wp:posOffset>4004310</wp:posOffset>
                  </wp:positionH>
                  <wp:positionV relativeFrom="paragraph">
                    <wp:posOffset>992192</wp:posOffset>
                  </wp:positionV>
                  <wp:extent cx="3054985" cy="2996565"/>
                  <wp:effectExtent l="0" t="0" r="0" b="0"/>
                  <wp:wrapTight wrapText="bothSides">
                    <wp:wrapPolygon edited="0">
                      <wp:start x="0" y="0"/>
                      <wp:lineTo x="0" y="21421"/>
                      <wp:lineTo x="21416" y="21421"/>
                      <wp:lineTo x="2141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54985" cy="2996565"/>
                          </a:xfrm>
                          <a:prstGeom prst="rect">
                            <a:avLst/>
                          </a:prstGeom>
                          <a:noFill/>
                        </pic:spPr>
                      </pic:pic>
                    </a:graphicData>
                  </a:graphic>
                  <wp14:sizeRelH relativeFrom="page">
                    <wp14:pctWidth>0</wp14:pctWidth>
                  </wp14:sizeRelH>
                  <wp14:sizeRelV relativeFrom="page">
                    <wp14:pctHeight>0</wp14:pctHeight>
                  </wp14:sizeRelV>
                </wp:anchor>
              </w:drawing>
            </w:r>
            <w:r w:rsidRPr="00D019E2">
              <w:rPr>
                <w:rFonts w:ascii="Arial" w:hAnsi="Arial" w:cs="Arial"/>
              </w:rPr>
              <w:t xml:space="preserve">Do you have clients with revenue subject to the requirements of FASB’s ASC 606, Revenue from Contracts with Customers? The </w:t>
            </w:r>
            <w:hyperlink r:id="rId22" w:history="1">
              <w:r w:rsidRPr="00D019E2">
                <w:rPr>
                  <w:rStyle w:val="Hyperlink"/>
                  <w:rFonts w:ascii="Arial" w:hAnsi="Arial" w:cs="Arial"/>
                </w:rPr>
                <w:t>AICPA’s revenue recognition toolkit</w:t>
              </w:r>
            </w:hyperlink>
            <w:r w:rsidRPr="00D019E2">
              <w:rPr>
                <w:rFonts w:ascii="Arial" w:hAnsi="Arial" w:cs="Arial"/>
              </w:rPr>
              <w:t xml:space="preserve"> has updated resources to help auditors stay independent when assisting attest clients with implementing FASB’s ASC 606. Take this </w:t>
            </w:r>
            <w:hyperlink r:id="rId23" w:history="1">
              <w:r w:rsidRPr="00D019E2">
                <w:rPr>
                  <w:rStyle w:val="Hyperlink"/>
                  <w:rFonts w:ascii="Arial" w:hAnsi="Arial" w:cs="Arial"/>
                </w:rPr>
                <w:t>quiz</w:t>
              </w:r>
            </w:hyperlink>
            <w:r w:rsidRPr="00D019E2">
              <w:rPr>
                <w:rFonts w:ascii="Arial" w:hAnsi="Arial" w:cs="Arial"/>
              </w:rPr>
              <w:t xml:space="preserve"> to see how well you know the independence requirements relative to assisting clients with ASC 606 implementation. Also, check out the article “</w:t>
            </w:r>
            <w:hyperlink r:id="rId24" w:history="1">
              <w:r w:rsidRPr="00D019E2">
                <w:rPr>
                  <w:rStyle w:val="Hyperlink"/>
                  <w:rFonts w:ascii="Arial" w:hAnsi="Arial" w:cs="Arial"/>
                </w:rPr>
                <w:t>How auditors can stay independent while advising on revenue recognition</w:t>
              </w:r>
            </w:hyperlink>
            <w:r w:rsidRPr="00D019E2">
              <w:rPr>
                <w:rFonts w:ascii="Arial" w:hAnsi="Arial" w:cs="Arial"/>
              </w:rPr>
              <w:t>” to learn some best practices to avoid crossing the lines of independence.</w:t>
            </w:r>
          </w:p>
          <w:p w14:paraId="2AB40A77" w14:textId="4F38887A" w:rsidR="006F0B99" w:rsidRPr="00D019E2" w:rsidRDefault="006F0B99" w:rsidP="00ED39F9">
            <w:pPr>
              <w:rPr>
                <w:rFonts w:ascii="Arial" w:hAnsi="Arial" w:cs="Arial"/>
              </w:rPr>
            </w:pPr>
            <w:r w:rsidRPr="00D019E2">
              <w:rPr>
                <w:rFonts w:ascii="Arial" w:hAnsi="Arial" w:cs="Arial"/>
              </w:rPr>
              <w:t>Insights from Peer Review data show missteps in the following areas relative to auditing ASC 606 and other estimates:</w:t>
            </w:r>
          </w:p>
          <w:p w14:paraId="580243F5" w14:textId="77777777" w:rsidR="006F0B99" w:rsidRPr="00D019E2" w:rsidRDefault="006F0B99" w:rsidP="00ED39F9">
            <w:pPr>
              <w:pStyle w:val="ListParagraph"/>
              <w:widowControl/>
              <w:numPr>
                <w:ilvl w:val="0"/>
                <w:numId w:val="14"/>
              </w:numPr>
              <w:autoSpaceDE/>
              <w:autoSpaceDN/>
              <w:adjustRightInd/>
              <w:spacing w:after="160" w:line="259" w:lineRule="auto"/>
              <w:contextualSpacing/>
              <w:rPr>
                <w:rFonts w:ascii="Arial" w:hAnsi="Arial" w:cs="Arial"/>
                <w:sz w:val="22"/>
                <w:szCs w:val="22"/>
              </w:rPr>
            </w:pPr>
            <w:r w:rsidRPr="00D019E2">
              <w:rPr>
                <w:rFonts w:ascii="Arial" w:hAnsi="Arial" w:cs="Arial"/>
                <w:sz w:val="22"/>
                <w:szCs w:val="22"/>
              </w:rPr>
              <w:t>Risk assessment and substantive testing procedures</w:t>
            </w:r>
          </w:p>
          <w:p w14:paraId="69F5E7D7" w14:textId="77777777" w:rsidR="006F0B99" w:rsidRPr="00D019E2" w:rsidRDefault="006F0B99" w:rsidP="00ED39F9">
            <w:pPr>
              <w:pStyle w:val="ListParagraph"/>
              <w:widowControl/>
              <w:numPr>
                <w:ilvl w:val="0"/>
                <w:numId w:val="14"/>
              </w:numPr>
              <w:autoSpaceDE/>
              <w:autoSpaceDN/>
              <w:adjustRightInd/>
              <w:spacing w:after="160" w:line="259" w:lineRule="auto"/>
              <w:contextualSpacing/>
              <w:rPr>
                <w:rFonts w:ascii="Arial" w:hAnsi="Arial" w:cs="Arial"/>
                <w:sz w:val="22"/>
                <w:szCs w:val="22"/>
              </w:rPr>
            </w:pPr>
            <w:r w:rsidRPr="00D019E2">
              <w:rPr>
                <w:rFonts w:ascii="Arial" w:hAnsi="Arial" w:cs="Arial"/>
                <w:sz w:val="22"/>
                <w:szCs w:val="22"/>
              </w:rPr>
              <w:t>Audit documentation</w:t>
            </w:r>
          </w:p>
          <w:p w14:paraId="19CC1B25" w14:textId="77777777" w:rsidR="006F0B99" w:rsidRPr="00D019E2" w:rsidRDefault="006F0B99" w:rsidP="00ED39F9">
            <w:pPr>
              <w:pStyle w:val="ListParagraph"/>
              <w:widowControl/>
              <w:numPr>
                <w:ilvl w:val="0"/>
                <w:numId w:val="14"/>
              </w:numPr>
              <w:autoSpaceDE/>
              <w:autoSpaceDN/>
              <w:adjustRightInd/>
              <w:spacing w:after="160" w:line="259" w:lineRule="auto"/>
              <w:contextualSpacing/>
              <w:rPr>
                <w:rFonts w:ascii="Arial" w:hAnsi="Arial" w:cs="Arial"/>
                <w:sz w:val="22"/>
                <w:szCs w:val="22"/>
              </w:rPr>
            </w:pPr>
            <w:r w:rsidRPr="00D019E2">
              <w:rPr>
                <w:rFonts w:ascii="Arial" w:hAnsi="Arial" w:cs="Arial"/>
                <w:sz w:val="22"/>
                <w:szCs w:val="22"/>
              </w:rPr>
              <w:t xml:space="preserve">Consideration of the effects of multiple non-attest services on auditor independence. </w:t>
            </w:r>
          </w:p>
          <w:p w14:paraId="463A0D78" w14:textId="77777777" w:rsidR="006F0B99" w:rsidRPr="00D019E2" w:rsidRDefault="006F0B99" w:rsidP="00ED39F9">
            <w:pPr>
              <w:rPr>
                <w:rFonts w:ascii="Arial" w:hAnsi="Arial" w:cs="Arial"/>
              </w:rPr>
            </w:pPr>
            <w:r w:rsidRPr="00D019E2">
              <w:rPr>
                <w:rFonts w:ascii="Arial" w:hAnsi="Arial" w:cs="Arial"/>
              </w:rPr>
              <w:t xml:space="preserve">Explore the Private Company Practice Section’s (PCPS) </w:t>
            </w:r>
            <w:hyperlink r:id="rId25" w:history="1">
              <w:r w:rsidRPr="00D019E2">
                <w:rPr>
                  <w:rStyle w:val="Hyperlink"/>
                  <w:rFonts w:ascii="Arial" w:hAnsi="Arial" w:cs="Arial"/>
                </w:rPr>
                <w:t>Breaking Down Revenue Recognition toolkit</w:t>
              </w:r>
            </w:hyperlink>
            <w:r w:rsidRPr="00D019E2">
              <w:rPr>
                <w:rFonts w:ascii="Arial" w:hAnsi="Arial" w:cs="Arial"/>
              </w:rPr>
              <w:t xml:space="preserve"> periodically for new resources to help your firm and clients understand the standard and ways to avoid those missteps.</w:t>
            </w:r>
          </w:p>
          <w:p w14:paraId="3C2382D2" w14:textId="77777777" w:rsidR="006F0B99" w:rsidRPr="00D019E2" w:rsidRDefault="006F0B99" w:rsidP="00ED39F9">
            <w:pPr>
              <w:rPr>
                <w:rFonts w:ascii="Arial" w:hAnsi="Arial" w:cs="Arial"/>
                <w:b/>
                <w:bCs/>
                <w:iCs/>
                <w:color w:val="005BBB"/>
                <w:sz w:val="26"/>
                <w:szCs w:val="26"/>
              </w:rPr>
            </w:pPr>
            <w:r w:rsidRPr="00D019E2">
              <w:rPr>
                <w:rFonts w:ascii="Arial" w:hAnsi="Arial" w:cs="Arial"/>
                <w:b/>
                <w:bCs/>
                <w:iCs/>
                <w:color w:val="005BBB"/>
                <w:sz w:val="26"/>
                <w:szCs w:val="26"/>
              </w:rPr>
              <w:t>SOC Engagements</w:t>
            </w:r>
          </w:p>
          <w:p w14:paraId="395E7E0B" w14:textId="77777777" w:rsidR="006F0B99" w:rsidRPr="00D72FF3" w:rsidRDefault="006F0B99" w:rsidP="00ED39F9">
            <w:pPr>
              <w:spacing w:after="0"/>
              <w:rPr>
                <w:rFonts w:ascii="Arial" w:hAnsi="Arial" w:cs="Arial"/>
                <w:color w:val="111111"/>
                <w:shd w:val="clear" w:color="auto" w:fill="FFFFFF"/>
              </w:rPr>
            </w:pPr>
            <w:r w:rsidRPr="00D72FF3">
              <w:rPr>
                <w:rFonts w:ascii="Arial" w:hAnsi="Arial" w:cs="Arial"/>
                <w:color w:val="111111"/>
                <w:shd w:val="clear" w:color="auto" w:fill="FFFFFF"/>
              </w:rPr>
              <w:t xml:space="preserve">The AICPA’s new </w:t>
            </w:r>
            <w:hyperlink r:id="rId26" w:history="1">
              <w:r w:rsidRPr="00D72FF3">
                <w:rPr>
                  <w:rStyle w:val="Hyperlink"/>
                  <w:rFonts w:ascii="Arial" w:hAnsi="Arial" w:cs="Arial"/>
                  <w:shd w:val="clear" w:color="auto" w:fill="FFFFFF"/>
                </w:rPr>
                <w:t>SOC for Supply Chain</w:t>
              </w:r>
            </w:hyperlink>
            <w:r w:rsidRPr="00D72FF3">
              <w:rPr>
                <w:rFonts w:ascii="Arial" w:hAnsi="Arial" w:cs="Arial"/>
                <w:color w:val="111111"/>
                <w:shd w:val="clear" w:color="auto" w:fill="FFFFFF"/>
              </w:rPr>
              <w:t xml:space="preserve"> is a market-driven, flexible and voluntary reporting framework that includes Description Criteria and Trust Services Criteria. CPAs, management accountants and organization management can use this tool to communicate about the organization’s supply chain risk management efforts and assess the effectiveness of system controls that mitigate those risks.</w:t>
            </w:r>
          </w:p>
          <w:p w14:paraId="791637F8" w14:textId="77777777" w:rsidR="006F0B99" w:rsidRPr="00D72FF3" w:rsidRDefault="006F0B99" w:rsidP="00ED39F9">
            <w:pPr>
              <w:spacing w:after="0"/>
              <w:rPr>
                <w:rFonts w:ascii="Arial" w:hAnsi="Arial" w:cs="Arial"/>
                <w:color w:val="111111"/>
                <w:shd w:val="clear" w:color="auto" w:fill="FFFFFF"/>
              </w:rPr>
            </w:pPr>
          </w:p>
          <w:p w14:paraId="646E2C56" w14:textId="77777777" w:rsidR="006F0B99" w:rsidRDefault="006F0B99" w:rsidP="00ED39F9">
            <w:pPr>
              <w:spacing w:after="0"/>
              <w:rPr>
                <w:rFonts w:ascii="Arial" w:hAnsi="Arial" w:cs="Arial"/>
                <w:color w:val="111111"/>
                <w:shd w:val="clear" w:color="auto" w:fill="FFFFFF"/>
              </w:rPr>
            </w:pPr>
            <w:r w:rsidRPr="00D72FF3">
              <w:rPr>
                <w:rFonts w:ascii="Arial" w:hAnsi="Arial" w:cs="Arial"/>
                <w:color w:val="111111"/>
                <w:shd w:val="clear" w:color="auto" w:fill="FFFFFF"/>
              </w:rPr>
              <w:t xml:space="preserve">Amid the novel coronavirus pandemic, the AICPA staff </w:t>
            </w:r>
            <w:r>
              <w:rPr>
                <w:rFonts w:ascii="Arial" w:hAnsi="Arial" w:cs="Arial"/>
                <w:color w:val="111111"/>
                <w:shd w:val="clear" w:color="auto" w:fill="FFFFFF"/>
              </w:rPr>
              <w:t>also</w:t>
            </w:r>
            <w:r w:rsidRPr="00D72FF3">
              <w:rPr>
                <w:rFonts w:ascii="Arial" w:hAnsi="Arial" w:cs="Arial"/>
                <w:color w:val="111111"/>
                <w:shd w:val="clear" w:color="auto" w:fill="FFFFFF"/>
              </w:rPr>
              <w:t xml:space="preserve"> prepared a </w:t>
            </w:r>
            <w:hyperlink r:id="rId27" w:history="1">
              <w:r w:rsidRPr="00D72FF3">
                <w:rPr>
                  <w:rStyle w:val="Hyperlink"/>
                  <w:rFonts w:ascii="Arial" w:hAnsi="Arial" w:cs="Arial"/>
                  <w:shd w:val="clear" w:color="auto" w:fill="FFFFFF"/>
                </w:rPr>
                <w:t>nonauthoritative guidance</w:t>
              </w:r>
            </w:hyperlink>
            <w:r w:rsidRPr="00D72FF3">
              <w:rPr>
                <w:rFonts w:ascii="Arial" w:hAnsi="Arial" w:cs="Arial"/>
                <w:color w:val="111111"/>
                <w:shd w:val="clear" w:color="auto" w:fill="FFFFFF"/>
              </w:rPr>
              <w:t xml:space="preserve"> to assist service auditors with performing and reporting on SOC 1 and SOC 2 examinations during these uncertain times.</w:t>
            </w:r>
          </w:p>
          <w:p w14:paraId="71A7DA32" w14:textId="77777777" w:rsidR="006F0B99" w:rsidRPr="00D72FF3" w:rsidRDefault="006F0B99" w:rsidP="00ED39F9">
            <w:pPr>
              <w:spacing w:after="0"/>
              <w:rPr>
                <w:rFonts w:ascii="Arial" w:hAnsi="Arial" w:cs="Arial"/>
              </w:rPr>
            </w:pPr>
            <w:r w:rsidRPr="00D72FF3">
              <w:rPr>
                <w:rFonts w:ascii="Arial" w:hAnsi="Arial" w:cs="Arial"/>
                <w:color w:val="111111"/>
                <w:shd w:val="clear" w:color="auto" w:fill="FFFFFF"/>
              </w:rPr>
              <w:t xml:space="preserve"> </w:t>
            </w:r>
          </w:p>
          <w:p w14:paraId="4F6AB323" w14:textId="77777777" w:rsidR="006F0B99" w:rsidRPr="00D019E2" w:rsidRDefault="006F0B99" w:rsidP="00ED39F9">
            <w:pPr>
              <w:rPr>
                <w:rFonts w:ascii="Arial" w:hAnsi="Arial" w:cs="Arial"/>
                <w:b/>
                <w:bCs/>
                <w:iCs/>
                <w:color w:val="005BBB"/>
                <w:sz w:val="26"/>
                <w:szCs w:val="26"/>
              </w:rPr>
            </w:pPr>
            <w:r w:rsidRPr="00D019E2">
              <w:rPr>
                <w:rFonts w:ascii="Arial" w:hAnsi="Arial" w:cs="Arial"/>
                <w:b/>
                <w:bCs/>
                <w:iCs/>
                <w:color w:val="005BBB"/>
                <w:sz w:val="26"/>
                <w:szCs w:val="26"/>
              </w:rPr>
              <w:t>EAQ 2019 Highlights and Progress Report:</w:t>
            </w:r>
          </w:p>
          <w:p w14:paraId="4B673309" w14:textId="319A0CE7" w:rsidR="006F0B99" w:rsidRPr="00D72FF3" w:rsidRDefault="006F0B99" w:rsidP="00ED39F9">
            <w:pPr>
              <w:rPr>
                <w:rFonts w:ascii="Arial" w:hAnsi="Arial" w:cs="Arial"/>
              </w:rPr>
            </w:pPr>
            <w:r>
              <w:rPr>
                <w:rFonts w:ascii="Arial" w:hAnsi="Arial" w:cs="Arial"/>
              </w:rPr>
              <w:t xml:space="preserve">See the </w:t>
            </w:r>
            <w:hyperlink r:id="rId28" w:history="1">
              <w:r>
                <w:rPr>
                  <w:rStyle w:val="Hyperlink"/>
                  <w:rFonts w:ascii="Arial" w:hAnsi="Arial" w:cs="Arial"/>
                </w:rPr>
                <w:t>2019 Highlights and Progress Report</w:t>
              </w:r>
            </w:hyperlink>
            <w:r>
              <w:rPr>
                <w:rFonts w:ascii="Arial" w:hAnsi="Arial" w:cs="Arial"/>
              </w:rPr>
              <w:t xml:space="preserve"> to learn more about progress of the EAQ initiative.</w:t>
            </w:r>
          </w:p>
          <w:p w14:paraId="01B52EE7" w14:textId="7DEDC2F8" w:rsidR="00D40D74" w:rsidRDefault="00D40D74" w:rsidP="00D40D74">
            <w:pPr>
              <w:rPr>
                <w:rFonts w:ascii="Arial" w:hAnsi="Arial" w:cs="Arial"/>
              </w:rPr>
            </w:pPr>
            <w:r w:rsidRPr="00E43C61">
              <w:rPr>
                <w:rFonts w:ascii="Arial" w:hAnsi="Arial" w:cs="Arial"/>
                <w:noProof/>
                <w:color w:val="005BBB"/>
              </w:rPr>
              <mc:AlternateContent>
                <mc:Choice Requires="wps">
                  <w:drawing>
                    <wp:anchor distT="0" distB="0" distL="114300" distR="114300" simplePos="0" relativeHeight="251746304" behindDoc="0" locked="0" layoutInCell="1" allowOverlap="1" wp14:anchorId="1D13F5E1" wp14:editId="45A21D94">
                      <wp:simplePos x="0" y="0"/>
                      <wp:positionH relativeFrom="column">
                        <wp:posOffset>1791690</wp:posOffset>
                      </wp:positionH>
                      <wp:positionV relativeFrom="paragraph">
                        <wp:posOffset>222453</wp:posOffset>
                      </wp:positionV>
                      <wp:extent cx="57150" cy="571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57150" cy="57150"/>
                              </a:xfrm>
                              <a:prstGeom prst="rect">
                                <a:avLst/>
                              </a:prstGeom>
                              <a:solidFill>
                                <a:srgbClr val="005BBB"/>
                              </a:solidFill>
                              <a:ln>
                                <a:solidFill>
                                  <a:srgbClr val="005BB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C08DC" id="Rectangle 6" o:spid="_x0000_s1026" style="position:absolute;margin-left:141.1pt;margin-top:17.5pt;width:4.5pt;height: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" fillcolor="#005bbb" strokecolor="#005bbb" strokeweight="1pt"/>
                  </w:pict>
                </mc:Fallback>
              </mc:AlternateContent>
            </w:r>
            <w:r w:rsidRPr="00D40D74">
              <w:rPr>
                <w:rFonts w:ascii="Arial" w:hAnsi="Arial" w:cs="Arial"/>
              </w:rPr>
              <w:t xml:space="preserve">And take a few minutes to listen to the </w:t>
            </w:r>
            <w:hyperlink r:id="rId29" w:history="1">
              <w:r w:rsidRPr="00D40D74">
                <w:rPr>
                  <w:rStyle w:val="Hyperlink"/>
                  <w:rFonts w:ascii="Arial" w:hAnsi="Arial" w:cs="Arial"/>
                </w:rPr>
                <w:t>EAQ episode of Ethically Speaking</w:t>
              </w:r>
            </w:hyperlink>
            <w:r w:rsidRPr="00D40D74">
              <w:rPr>
                <w:rFonts w:ascii="Arial" w:hAnsi="Arial" w:cs="Arial"/>
              </w:rPr>
              <w:t xml:space="preserve"> to hear more about the initiative, including the focus for 2020.</w:t>
            </w:r>
            <w:r>
              <w:rPr>
                <w:rFonts w:ascii="Arial" w:hAnsi="Arial" w:cs="Arial"/>
              </w:rPr>
              <w:t xml:space="preserve"> </w:t>
            </w:r>
          </w:p>
          <w:p w14:paraId="511DBAA2" w14:textId="77777777" w:rsidR="006F0B99" w:rsidRPr="005529FF" w:rsidRDefault="006F0B99" w:rsidP="00ED39F9"/>
        </w:tc>
      </w:tr>
      <w:tr w:rsidR="006F0B99" w:rsidRPr="00A41C29" w14:paraId="7151EF90" w14:textId="77777777" w:rsidTr="00A84A06">
        <w:trPr>
          <w:trHeight w:val="40"/>
        </w:trPr>
        <w:tc>
          <w:tcPr>
            <w:tcW w:w="5000" w:type="pct"/>
            <w:shd w:val="clear" w:color="auto" w:fill="005BBB"/>
            <w:tcMar>
              <w:right w:w="216" w:type="dxa"/>
            </w:tcMar>
          </w:tcPr>
          <w:p w14:paraId="63633E17" w14:textId="77777777" w:rsidR="006F0B99" w:rsidRPr="00A41C29" w:rsidRDefault="006F0B99" w:rsidP="00ED39F9">
            <w:pPr>
              <w:pStyle w:val="Heading1"/>
              <w:tabs>
                <w:tab w:val="left" w:pos="601"/>
              </w:tabs>
              <w:spacing w:before="0" w:after="0"/>
              <w:jc w:val="both"/>
              <w:rPr>
                <w:rFonts w:ascii="Arial" w:hAnsi="Arial" w:cs="Arial"/>
                <w:caps w:val="0"/>
                <w:color w:val="FFFFFF" w:themeColor="background1"/>
                <w:sz w:val="36"/>
                <w:szCs w:val="36"/>
              </w:rPr>
            </w:pPr>
            <w:r>
              <w:rPr>
                <w:rFonts w:asciiTheme="minorHAnsi" w:hAnsiTheme="minorHAnsi" w:cs="Georgia"/>
                <w:b w:val="0"/>
                <w:bCs w:val="0"/>
                <w:caps w:val="0"/>
                <w:color w:val="auto"/>
                <w:sz w:val="22"/>
                <w:szCs w:val="22"/>
              </w:rPr>
              <w:br w:type="page"/>
            </w:r>
            <w:r>
              <w:br w:type="page"/>
            </w:r>
            <w:r w:rsidRPr="001A680D">
              <w:rPr>
                <w:rFonts w:ascii="Calibri Light" w:hAnsi="Calibri Light" w:cs="Georgia"/>
                <w:bCs w:val="0"/>
                <w:color w:val="FFFFFF" w:themeColor="background1"/>
                <w:sz w:val="40"/>
                <w:szCs w:val="22"/>
              </w:rPr>
              <w:br w:type="page"/>
            </w:r>
          </w:p>
        </w:tc>
      </w:tr>
    </w:tbl>
    <w:p w14:paraId="790836CB" w14:textId="4500A932" w:rsidR="009C3909" w:rsidRDefault="009C3909" w:rsidP="008E7883">
      <w:pPr>
        <w:spacing w:after="0"/>
        <w:rPr>
          <w:sz w:val="4"/>
          <w:szCs w:val="4"/>
        </w:rPr>
      </w:pPr>
    </w:p>
    <w:p w14:paraId="774C6E4F" w14:textId="77777777" w:rsidR="007E4EC0" w:rsidRDefault="007E4EC0" w:rsidP="003C7AC1">
      <w:pPr>
        <w:pStyle w:val="Heading1"/>
        <w:spacing w:before="0" w:after="0"/>
        <w:sectPr w:rsidR="007E4EC0" w:rsidSect="00486D70">
          <w:headerReference w:type="even" r:id="rId30"/>
          <w:headerReference w:type="default" r:id="rId31"/>
          <w:footerReference w:type="even" r:id="rId32"/>
          <w:footerReference w:type="default" r:id="rId33"/>
          <w:headerReference w:type="first" r:id="rId34"/>
          <w:footerReference w:type="first" r:id="rId35"/>
          <w:type w:val="continuous"/>
          <w:pgSz w:w="12240" w:h="15840" w:code="1"/>
          <w:pgMar w:top="720" w:right="720" w:bottom="720" w:left="720" w:header="720" w:footer="432" w:gutter="0"/>
          <w:cols w:space="720"/>
          <w:noEndnote/>
          <w:docGrid w:linePitch="326"/>
        </w:sectPr>
      </w:pPr>
    </w:p>
    <w:tbl>
      <w:tblPr>
        <w:tblW w:w="5007" w:type="pct"/>
        <w:tblCellMar>
          <w:left w:w="115" w:type="dxa"/>
          <w:right w:w="115" w:type="dxa"/>
        </w:tblCellMar>
        <w:tblLook w:val="0600" w:firstRow="0" w:lastRow="0" w:firstColumn="0" w:lastColumn="0" w:noHBand="1" w:noVBand="1"/>
      </w:tblPr>
      <w:tblGrid>
        <w:gridCol w:w="3930"/>
        <w:gridCol w:w="2123"/>
        <w:gridCol w:w="1421"/>
        <w:gridCol w:w="3311"/>
        <w:gridCol w:w="15"/>
      </w:tblGrid>
      <w:tr w:rsidR="007E4EC0" w:rsidRPr="0077613F" w14:paraId="2BE8F92F" w14:textId="77777777" w:rsidTr="007E4EC0">
        <w:trPr>
          <w:gridAfter w:val="1"/>
          <w:wAfter w:w="7" w:type="pct"/>
          <w:trHeight w:val="13830"/>
        </w:trPr>
        <w:tc>
          <w:tcPr>
            <w:tcW w:w="2802" w:type="pct"/>
            <w:gridSpan w:val="2"/>
            <w:tcBorders>
              <w:right w:val="single" w:sz="12" w:space="0" w:color="005BBB"/>
            </w:tcBorders>
            <w:tcMar>
              <w:right w:w="216" w:type="dxa"/>
            </w:tcMar>
          </w:tcPr>
          <w:tbl>
            <w:tblPr>
              <w:tblW w:w="5000" w:type="pct"/>
              <w:jc w:val="center"/>
              <w:shd w:val="clear" w:color="auto" w:fill="005BBB"/>
              <w:tblCellMar>
                <w:left w:w="115" w:type="dxa"/>
                <w:right w:w="115" w:type="dxa"/>
              </w:tblCellMar>
              <w:tblLook w:val="0600" w:firstRow="0" w:lastRow="0" w:firstColumn="0" w:lastColumn="0" w:noHBand="1" w:noVBand="1"/>
              <w:tblDescription w:val="Layout table page 1"/>
            </w:tblPr>
            <w:tblGrid>
              <w:gridCol w:w="5722"/>
            </w:tblGrid>
            <w:tr w:rsidR="007E4EC0" w:rsidRPr="00D636D7" w14:paraId="4A0184CA" w14:textId="77777777" w:rsidTr="00ED39F9">
              <w:trPr>
                <w:trHeight w:val="576"/>
                <w:jc w:val="center"/>
              </w:trPr>
              <w:tc>
                <w:tcPr>
                  <w:tcW w:w="5000" w:type="pct"/>
                  <w:shd w:val="clear" w:color="auto" w:fill="005BBB"/>
                  <w:vAlign w:val="center"/>
                </w:tcPr>
                <w:p w14:paraId="65BACAC3" w14:textId="77777777" w:rsidR="007E4EC0" w:rsidRPr="002606D8" w:rsidRDefault="007E4EC0" w:rsidP="00ED39F9">
                  <w:pPr>
                    <w:pStyle w:val="Heading1"/>
                    <w:spacing w:before="0" w:after="0"/>
                    <w:rPr>
                      <w:rFonts w:ascii="Arial" w:hAnsi="Arial" w:cs="Arial"/>
                      <w:bCs w:val="0"/>
                      <w:caps w:val="0"/>
                      <w:color w:val="FFFFFF" w:themeColor="background1"/>
                      <w:sz w:val="32"/>
                      <w:szCs w:val="32"/>
                    </w:rPr>
                  </w:pPr>
                  <w:r>
                    <w:lastRenderedPageBreak/>
                    <w:br w:type="page"/>
                  </w:r>
                  <w:bookmarkStart w:id="2" w:name="_Hlk39037912"/>
                  <w:r>
                    <w:rPr>
                      <w:rFonts w:asciiTheme="minorHAnsi" w:hAnsiTheme="minorHAnsi" w:cs="Georgia"/>
                      <w:b w:val="0"/>
                      <w:bCs w:val="0"/>
                      <w:caps w:val="0"/>
                      <w:color w:val="auto"/>
                      <w:sz w:val="22"/>
                      <w:szCs w:val="22"/>
                    </w:rPr>
                    <w:br w:type="page"/>
                  </w:r>
                  <w:r w:rsidRPr="002606D8">
                    <w:rPr>
                      <w:rFonts w:asciiTheme="minorHAnsi" w:hAnsiTheme="minorHAnsi" w:cs="Georgia"/>
                      <w:b w:val="0"/>
                      <w:bCs w:val="0"/>
                      <w:caps w:val="0"/>
                      <w:color w:val="auto"/>
                      <w:sz w:val="32"/>
                      <w:szCs w:val="32"/>
                    </w:rPr>
                    <w:br w:type="page"/>
                  </w:r>
                  <w:r w:rsidRPr="002606D8">
                    <w:rPr>
                      <w:sz w:val="32"/>
                      <w:szCs w:val="32"/>
                    </w:rPr>
                    <w:br w:type="page"/>
                  </w:r>
                  <w:r w:rsidRPr="002606D8">
                    <w:rPr>
                      <w:rFonts w:ascii="Calibri Light" w:hAnsi="Calibri Light" w:cs="Georgia"/>
                      <w:bCs w:val="0"/>
                      <w:color w:val="FFFFFF" w:themeColor="background1"/>
                      <w:sz w:val="32"/>
                      <w:szCs w:val="32"/>
                    </w:rPr>
                    <w:br w:type="page"/>
                  </w:r>
                  <w:r>
                    <w:rPr>
                      <w:rFonts w:ascii="Arial" w:hAnsi="Arial" w:cs="Arial"/>
                      <w:bCs w:val="0"/>
                      <w:caps w:val="0"/>
                      <w:color w:val="FFFFFF" w:themeColor="background1"/>
                      <w:sz w:val="32"/>
                      <w:szCs w:val="32"/>
                    </w:rPr>
                    <w:t>At the P</w:t>
                  </w:r>
                  <w:r w:rsidRPr="00132975">
                    <w:rPr>
                      <w:rFonts w:ascii="Arial" w:hAnsi="Arial" w:cs="Arial"/>
                      <w:bCs w:val="0"/>
                      <w:caps w:val="0"/>
                      <w:color w:val="FFFFFF" w:themeColor="background1"/>
                      <w:sz w:val="32"/>
                      <w:szCs w:val="32"/>
                    </w:rPr>
                    <w:t>innacle – Stay</w:t>
                  </w:r>
                  <w:r>
                    <w:rPr>
                      <w:rFonts w:ascii="Arial" w:hAnsi="Arial" w:cs="Arial"/>
                      <w:bCs w:val="0"/>
                      <w:caps w:val="0"/>
                      <w:color w:val="FFFFFF" w:themeColor="background1"/>
                      <w:sz w:val="32"/>
                      <w:szCs w:val="32"/>
                    </w:rPr>
                    <w:t>ing</w:t>
                  </w:r>
                  <w:r w:rsidRPr="00132975">
                    <w:rPr>
                      <w:rFonts w:ascii="Arial" w:hAnsi="Arial" w:cs="Arial"/>
                      <w:bCs w:val="0"/>
                      <w:caps w:val="0"/>
                      <w:color w:val="FFFFFF" w:themeColor="background1"/>
                      <w:sz w:val="32"/>
                      <w:szCs w:val="32"/>
                    </w:rPr>
                    <w:t xml:space="preserve"> on top of ethics</w:t>
                  </w:r>
                </w:p>
              </w:tc>
            </w:tr>
          </w:tbl>
          <w:p w14:paraId="37500D14" w14:textId="77777777" w:rsidR="007E4EC0" w:rsidRPr="000D3DB5" w:rsidRDefault="007E4EC0" w:rsidP="00ED39F9">
            <w:pPr>
              <w:tabs>
                <w:tab w:val="left" w:pos="6003"/>
              </w:tabs>
              <w:spacing w:before="100"/>
              <w:rPr>
                <w:rFonts w:ascii="Arial" w:hAnsi="Arial" w:cs="Arial"/>
                <w:b/>
                <w:color w:val="005BBB"/>
                <w:sz w:val="26"/>
                <w:szCs w:val="26"/>
              </w:rPr>
            </w:pPr>
            <w:bookmarkStart w:id="3" w:name="_Hlk40244208"/>
            <w:bookmarkStart w:id="4" w:name="_Hlk39725865"/>
            <w:bookmarkEnd w:id="2"/>
            <w:r w:rsidRPr="000D3DB5">
              <w:rPr>
                <w:rFonts w:ascii="Arial" w:hAnsi="Arial" w:cs="Arial"/>
                <w:b/>
                <w:color w:val="005BBB"/>
                <w:sz w:val="26"/>
                <w:szCs w:val="26"/>
              </w:rPr>
              <w:t>Extended effective dates of interpretations</w:t>
            </w:r>
          </w:p>
          <w:p w14:paraId="15128DFD" w14:textId="4CDF3EAC" w:rsidR="007E4EC0" w:rsidRPr="00CA5327" w:rsidRDefault="007E4EC0" w:rsidP="00ED39F9">
            <w:pPr>
              <w:tabs>
                <w:tab w:val="left" w:pos="6003"/>
              </w:tabs>
              <w:ind w:right="243"/>
              <w:rPr>
                <w:rFonts w:ascii="Arial" w:eastAsiaTheme="minorHAnsi" w:hAnsi="Arial" w:cs="Arial"/>
              </w:rPr>
            </w:pPr>
            <w:r w:rsidRPr="004D0748">
              <w:rPr>
                <w:rFonts w:ascii="Arial" w:hAnsi="Arial" w:cs="Arial"/>
              </w:rPr>
              <w:t>In response to COVID-19 concerns, at its May 5</w:t>
            </w:r>
            <w:r w:rsidR="00051AEE">
              <w:rPr>
                <w:rFonts w:ascii="Arial" w:hAnsi="Arial" w:cs="Arial"/>
              </w:rPr>
              <w:t>, 2020</w:t>
            </w:r>
            <w:r w:rsidRPr="004D0748">
              <w:rPr>
                <w:rFonts w:ascii="Arial" w:hAnsi="Arial" w:cs="Arial"/>
              </w:rPr>
              <w:t xml:space="preserve"> meeting</w:t>
            </w:r>
            <w:r>
              <w:rPr>
                <w:rFonts w:ascii="Arial" w:hAnsi="Arial" w:cs="Arial"/>
              </w:rPr>
              <w:t>,</w:t>
            </w:r>
            <w:r w:rsidRPr="004D0748">
              <w:rPr>
                <w:rFonts w:ascii="Arial" w:hAnsi="Arial" w:cs="Arial"/>
              </w:rPr>
              <w:t xml:space="preserve"> the AICPA Professional Ethics Executive Committee (PEEC) voted to extend by one year the effective dates of three independence interpretations:</w:t>
            </w:r>
          </w:p>
          <w:p w14:paraId="03DDCE99" w14:textId="77777777" w:rsidR="007E4EC0" w:rsidRDefault="000E06A3" w:rsidP="00ED39F9">
            <w:pPr>
              <w:pStyle w:val="ListParagraph"/>
              <w:widowControl/>
              <w:numPr>
                <w:ilvl w:val="0"/>
                <w:numId w:val="15"/>
              </w:numPr>
              <w:autoSpaceDE/>
              <w:adjustRightInd/>
              <w:spacing w:after="0"/>
              <w:ind w:right="243"/>
              <w:contextualSpacing/>
              <w:rPr>
                <w:rFonts w:ascii="Arial" w:hAnsi="Arial" w:cs="Arial"/>
                <w:sz w:val="22"/>
                <w:szCs w:val="22"/>
              </w:rPr>
            </w:pPr>
            <w:hyperlink r:id="rId36" w:history="1">
              <w:r w:rsidR="007E4EC0">
                <w:rPr>
                  <w:rStyle w:val="Hyperlink"/>
                  <w:rFonts w:ascii="Arial" w:hAnsi="Arial" w:cs="Arial"/>
                  <w:sz w:val="22"/>
                  <w:szCs w:val="22"/>
                </w:rPr>
                <w:t>Information Systems Services</w:t>
              </w:r>
            </w:hyperlink>
            <w:r w:rsidR="007E4EC0">
              <w:rPr>
                <w:rFonts w:ascii="Arial" w:hAnsi="Arial" w:cs="Arial"/>
                <w:sz w:val="22"/>
                <w:szCs w:val="22"/>
              </w:rPr>
              <w:t>, now effective January 1, 2022 (early implementation permitted).</w:t>
            </w:r>
          </w:p>
          <w:p w14:paraId="6F4B7316" w14:textId="77777777" w:rsidR="007E4EC0" w:rsidRDefault="000E06A3" w:rsidP="00ED39F9">
            <w:pPr>
              <w:pStyle w:val="ListParagraph"/>
              <w:widowControl/>
              <w:numPr>
                <w:ilvl w:val="0"/>
                <w:numId w:val="15"/>
              </w:numPr>
              <w:autoSpaceDE/>
              <w:adjustRightInd/>
              <w:spacing w:after="0"/>
              <w:ind w:right="243"/>
              <w:contextualSpacing/>
              <w:rPr>
                <w:rFonts w:ascii="Arial" w:hAnsi="Arial" w:cs="Arial"/>
                <w:sz w:val="22"/>
                <w:szCs w:val="22"/>
              </w:rPr>
            </w:pPr>
            <w:hyperlink r:id="rId37" w:history="1">
              <w:r w:rsidR="007E4EC0">
                <w:rPr>
                  <w:rStyle w:val="Hyperlink"/>
                  <w:rFonts w:ascii="Arial" w:hAnsi="Arial" w:cs="Arial"/>
                  <w:sz w:val="22"/>
                  <w:szCs w:val="22"/>
                </w:rPr>
                <w:t>State and Local Government Client Affiliates</w:t>
              </w:r>
            </w:hyperlink>
            <w:r w:rsidR="007E4EC0">
              <w:rPr>
                <w:rFonts w:ascii="Arial" w:hAnsi="Arial" w:cs="Arial"/>
                <w:sz w:val="22"/>
                <w:szCs w:val="22"/>
              </w:rPr>
              <w:t>, now effective for fiscal years beginning after December 15, 2021.</w:t>
            </w:r>
          </w:p>
          <w:p w14:paraId="3C8AF2FA" w14:textId="77777777" w:rsidR="007E4EC0" w:rsidRDefault="000E06A3" w:rsidP="00ED39F9">
            <w:pPr>
              <w:pStyle w:val="ListParagraph"/>
              <w:widowControl/>
              <w:numPr>
                <w:ilvl w:val="0"/>
                <w:numId w:val="15"/>
              </w:numPr>
              <w:autoSpaceDE/>
              <w:adjustRightInd/>
              <w:spacing w:after="0"/>
              <w:ind w:right="243"/>
              <w:contextualSpacing/>
              <w:rPr>
                <w:rFonts w:ascii="Arial" w:hAnsi="Arial" w:cs="Arial"/>
                <w:sz w:val="22"/>
                <w:szCs w:val="22"/>
              </w:rPr>
            </w:pPr>
            <w:hyperlink r:id="rId38" w:history="1">
              <w:r w:rsidR="007E4EC0">
                <w:rPr>
                  <w:rStyle w:val="Hyperlink"/>
                  <w:rFonts w:ascii="Arial" w:hAnsi="Arial" w:cs="Arial"/>
                  <w:sz w:val="22"/>
                  <w:szCs w:val="22"/>
                </w:rPr>
                <w:t>Leases</w:t>
              </w:r>
            </w:hyperlink>
            <w:r w:rsidR="007E4EC0">
              <w:rPr>
                <w:rFonts w:ascii="Arial" w:hAnsi="Arial" w:cs="Arial"/>
                <w:sz w:val="22"/>
                <w:szCs w:val="22"/>
              </w:rPr>
              <w:t>, now effective for fiscal years beginning after December 15, 2020 (early implementation permitted).</w:t>
            </w:r>
          </w:p>
          <w:p w14:paraId="39982E86" w14:textId="77777777" w:rsidR="007E4EC0" w:rsidRPr="00CA5327" w:rsidRDefault="007E4EC0" w:rsidP="00ED39F9">
            <w:pPr>
              <w:pStyle w:val="ListParagraph"/>
              <w:widowControl/>
              <w:tabs>
                <w:tab w:val="left" w:pos="6003"/>
              </w:tabs>
              <w:autoSpaceDE/>
              <w:autoSpaceDN/>
              <w:adjustRightInd/>
              <w:spacing w:after="0"/>
              <w:ind w:left="720" w:right="243"/>
              <w:contextualSpacing/>
              <w:rPr>
                <w:rFonts w:ascii="Arial" w:hAnsi="Arial" w:cs="Arial"/>
                <w:sz w:val="22"/>
                <w:szCs w:val="22"/>
              </w:rPr>
            </w:pPr>
            <w:r w:rsidRPr="00CA5327">
              <w:rPr>
                <w:rFonts w:ascii="Arial" w:hAnsi="Arial" w:cs="Arial"/>
                <w:sz w:val="22"/>
                <w:szCs w:val="22"/>
              </w:rPr>
              <w:t xml:space="preserve"> </w:t>
            </w:r>
          </w:p>
          <w:p w14:paraId="1E3D8C05" w14:textId="77777777" w:rsidR="007E4EC0" w:rsidRDefault="007E4EC0" w:rsidP="00ED39F9">
            <w:pPr>
              <w:ind w:right="243"/>
              <w:rPr>
                <w:rFonts w:ascii="Arial" w:hAnsi="Arial" w:cs="Arial"/>
              </w:rPr>
            </w:pPr>
            <w:bookmarkStart w:id="5" w:name="_Hlk40244183"/>
            <w:r>
              <w:rPr>
                <w:rFonts w:ascii="Arial" w:hAnsi="Arial" w:cs="Arial"/>
              </w:rPr>
              <w:t xml:space="preserve">You can listen to a brief recap of the meeting in </w:t>
            </w:r>
            <w:hyperlink r:id="rId39" w:history="1">
              <w:r>
                <w:rPr>
                  <w:rStyle w:val="Hyperlink"/>
                  <w:rFonts w:ascii="Arial" w:hAnsi="Arial" w:cs="Arial"/>
                </w:rPr>
                <w:t xml:space="preserve">this episode of </w:t>
              </w:r>
              <w:r>
                <w:rPr>
                  <w:rStyle w:val="Hyperlink"/>
                  <w:rFonts w:ascii="Arial" w:hAnsi="Arial" w:cs="Arial"/>
                  <w:i/>
                  <w:iCs/>
                </w:rPr>
                <w:t>Ethically Speaking</w:t>
              </w:r>
            </w:hyperlink>
            <w:r>
              <w:rPr>
                <w:rFonts w:ascii="Arial" w:hAnsi="Arial" w:cs="Arial"/>
              </w:rPr>
              <w:t xml:space="preserve">. While you’re there, check out some of the other episodes and hit the subscribe link so you can catch future episodes as they are published. </w:t>
            </w:r>
          </w:p>
          <w:bookmarkEnd w:id="5"/>
          <w:p w14:paraId="3A315E47" w14:textId="77777777" w:rsidR="007E4EC0" w:rsidRPr="00CA5327" w:rsidRDefault="007E4EC0" w:rsidP="00ED39F9">
            <w:pPr>
              <w:ind w:right="243"/>
              <w:rPr>
                <w:rFonts w:ascii="Arial" w:hAnsi="Arial" w:cs="Arial"/>
              </w:rPr>
            </w:pPr>
            <w:r w:rsidRPr="00CA5327">
              <w:rPr>
                <w:rFonts w:ascii="Arial" w:hAnsi="Arial" w:cs="Arial"/>
                <w:noProof/>
                <w:color w:val="005BBB"/>
              </w:rPr>
              <mc:AlternateContent>
                <mc:Choice Requires="wps">
                  <w:drawing>
                    <wp:anchor distT="0" distB="0" distL="114300" distR="114300" simplePos="0" relativeHeight="251751424" behindDoc="0" locked="0" layoutInCell="1" allowOverlap="1" wp14:anchorId="23AC4EAD" wp14:editId="24530B15">
                      <wp:simplePos x="0" y="0"/>
                      <wp:positionH relativeFrom="column">
                        <wp:posOffset>1897380</wp:posOffset>
                      </wp:positionH>
                      <wp:positionV relativeFrom="paragraph">
                        <wp:posOffset>371755</wp:posOffset>
                      </wp:positionV>
                      <wp:extent cx="57150" cy="5715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57150" cy="57150"/>
                              </a:xfrm>
                              <a:prstGeom prst="rect">
                                <a:avLst/>
                              </a:prstGeom>
                              <a:solidFill>
                                <a:srgbClr val="005BBB"/>
                              </a:solidFill>
                              <a:ln>
                                <a:solidFill>
                                  <a:srgbClr val="005BB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9F0D9" id="Rectangle 29" o:spid="_x0000_s1026" style="position:absolute;margin-left:149.4pt;margin-top:29.25pt;width:4.5pt;height: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" fillcolor="#005bbb" strokecolor="#005bbb" strokeweight="1pt"/>
                  </w:pict>
                </mc:Fallback>
              </mc:AlternateContent>
            </w:r>
            <w:r>
              <w:rPr>
                <w:rFonts w:ascii="Arial" w:hAnsi="Arial" w:cs="Arial"/>
              </w:rPr>
              <w:t xml:space="preserve">PEEC meetings are open to the public and we encourage you to attend. Register to observe at </w:t>
            </w:r>
            <w:hyperlink r:id="rId40" w:history="1">
              <w:r>
                <w:rPr>
                  <w:rStyle w:val="Hyperlink"/>
                  <w:rFonts w:ascii="Arial" w:hAnsi="Arial" w:cs="Arial"/>
                </w:rPr>
                <w:t>www.aicpa.org/PEECmeeting</w:t>
              </w:r>
            </w:hyperlink>
            <w:r>
              <w:rPr>
                <w:rFonts w:ascii="Arial" w:hAnsi="Arial" w:cs="Arial"/>
              </w:rPr>
              <w:t xml:space="preserve">. </w:t>
            </w:r>
            <w:r w:rsidRPr="00CA5327">
              <w:rPr>
                <w:rFonts w:ascii="Arial" w:hAnsi="Arial" w:cs="Arial"/>
              </w:rPr>
              <w:t xml:space="preserve"> </w:t>
            </w:r>
          </w:p>
          <w:bookmarkEnd w:id="3"/>
          <w:p w14:paraId="12FAA80E" w14:textId="77777777" w:rsidR="007E4EC0" w:rsidRPr="004D0748" w:rsidRDefault="007E4EC0" w:rsidP="00ED39F9">
            <w:pPr>
              <w:tabs>
                <w:tab w:val="left" w:pos="6003"/>
              </w:tabs>
              <w:spacing w:before="100"/>
              <w:ind w:right="243"/>
              <w:rPr>
                <w:rFonts w:ascii="Arial" w:hAnsi="Arial" w:cs="Arial"/>
                <w:b/>
                <w:color w:val="005BBB"/>
                <w:sz w:val="26"/>
                <w:szCs w:val="26"/>
              </w:rPr>
            </w:pPr>
            <w:r w:rsidRPr="004D0748">
              <w:rPr>
                <w:rFonts w:ascii="Arial" w:hAnsi="Arial" w:cs="Arial"/>
                <w:b/>
                <w:color w:val="005BBB"/>
                <w:sz w:val="26"/>
                <w:szCs w:val="26"/>
              </w:rPr>
              <w:t>Exposure draft of proposed revisions: Records Requests interpretation</w:t>
            </w:r>
          </w:p>
          <w:p w14:paraId="350DE7E5" w14:textId="77777777" w:rsidR="007E4EC0" w:rsidRPr="004D0748" w:rsidRDefault="007E4EC0" w:rsidP="00ED39F9">
            <w:pPr>
              <w:tabs>
                <w:tab w:val="left" w:pos="6003"/>
              </w:tabs>
              <w:ind w:right="243"/>
              <w:rPr>
                <w:rFonts w:ascii="Arial" w:hAnsi="Arial" w:cs="Arial"/>
              </w:rPr>
            </w:pPr>
            <w:r w:rsidRPr="003674DC">
              <w:rPr>
                <w:rFonts w:ascii="Arial" w:hAnsi="Arial" w:cs="Arial"/>
                <w:noProof/>
                <w:color w:val="005BBB"/>
              </w:rPr>
              <mc:AlternateContent>
                <mc:Choice Requires="wps">
                  <w:drawing>
                    <wp:anchor distT="0" distB="0" distL="114300" distR="114300" simplePos="0" relativeHeight="251752448" behindDoc="0" locked="0" layoutInCell="1" allowOverlap="1" wp14:anchorId="20DCDC01" wp14:editId="53F0CEC1">
                      <wp:simplePos x="0" y="0"/>
                      <wp:positionH relativeFrom="column">
                        <wp:posOffset>1486527</wp:posOffset>
                      </wp:positionH>
                      <wp:positionV relativeFrom="paragraph">
                        <wp:posOffset>825054</wp:posOffset>
                      </wp:positionV>
                      <wp:extent cx="57150" cy="571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57150" cy="57150"/>
                              </a:xfrm>
                              <a:prstGeom prst="rect">
                                <a:avLst/>
                              </a:prstGeom>
                              <a:solidFill>
                                <a:srgbClr val="005BBB"/>
                              </a:solidFill>
                              <a:ln>
                                <a:solidFill>
                                  <a:srgbClr val="005BB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2CD9C" id="Rectangle 10" o:spid="_x0000_s1026" style="position:absolute;margin-left:117.05pt;margin-top:64.95pt;width:4.5pt;height: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" fillcolor="#005bbb" strokecolor="#005bbb" strokeweight="1pt"/>
                  </w:pict>
                </mc:Fallback>
              </mc:AlternateContent>
            </w:r>
            <w:r w:rsidRPr="004D0748">
              <w:rPr>
                <w:rFonts w:ascii="Arial" w:hAnsi="Arial" w:cs="Arial"/>
                <w:color w:val="000000"/>
              </w:rPr>
              <w:t xml:space="preserve">Be sure to check out the </w:t>
            </w:r>
            <w:hyperlink r:id="rId41" w:history="1">
              <w:r w:rsidRPr="004D0748">
                <w:rPr>
                  <w:rStyle w:val="Hyperlink"/>
                  <w:rFonts w:ascii="Arial" w:hAnsi="Arial" w:cs="Arial"/>
                </w:rPr>
                <w:t>exposure draft PEEC issued on May 1</w:t>
              </w:r>
            </w:hyperlink>
            <w:r w:rsidRPr="004D0748">
              <w:rPr>
                <w:rFonts w:ascii="Arial" w:hAnsi="Arial" w:cs="Arial"/>
                <w:color w:val="000000"/>
              </w:rPr>
              <w:t xml:space="preserve"> to clarify the Records Requests interpretation. AICPA exposure drafts offer you the opportunity to have a voice in the direction of the profession and </w:t>
            </w:r>
            <w:r>
              <w:rPr>
                <w:rFonts w:ascii="Arial" w:hAnsi="Arial" w:cs="Arial"/>
                <w:color w:val="000000"/>
              </w:rPr>
              <w:t>the AICPA is</w:t>
            </w:r>
            <w:r w:rsidRPr="004D0748">
              <w:rPr>
                <w:rFonts w:ascii="Arial" w:hAnsi="Arial" w:cs="Arial"/>
                <w:color w:val="000000"/>
              </w:rPr>
              <w:t xml:space="preserve"> eager to hear your feedback. The comment period ends on September 30.</w:t>
            </w:r>
            <w:r w:rsidRPr="004D0748">
              <w:rPr>
                <w:rFonts w:ascii="Arial" w:hAnsi="Arial" w:cs="Arial"/>
              </w:rPr>
              <w:t xml:space="preserve"> </w:t>
            </w:r>
          </w:p>
          <w:p w14:paraId="7186089E" w14:textId="77777777" w:rsidR="007E4EC0" w:rsidRPr="000D3DB5" w:rsidRDefault="007E4EC0" w:rsidP="00ED39F9">
            <w:pPr>
              <w:tabs>
                <w:tab w:val="left" w:pos="6003"/>
              </w:tabs>
              <w:spacing w:before="100"/>
              <w:ind w:right="243"/>
              <w:rPr>
                <w:rFonts w:ascii="Arial" w:hAnsi="Arial" w:cs="Arial"/>
                <w:color w:val="005BBB"/>
                <w:sz w:val="26"/>
                <w:szCs w:val="26"/>
              </w:rPr>
            </w:pPr>
            <w:r w:rsidRPr="000D3DB5">
              <w:rPr>
                <w:rFonts w:ascii="Arial" w:hAnsi="Arial" w:cs="Arial"/>
                <w:b/>
                <w:color w:val="005BBB"/>
                <w:sz w:val="26"/>
                <w:szCs w:val="26"/>
              </w:rPr>
              <w:t>Guidance for helping attest clients with the PPP</w:t>
            </w:r>
          </w:p>
          <w:p w14:paraId="3E0579BA" w14:textId="77777777" w:rsidR="007E4EC0" w:rsidRPr="00CA5327" w:rsidRDefault="007E4EC0" w:rsidP="00ED39F9">
            <w:pPr>
              <w:tabs>
                <w:tab w:val="left" w:pos="6003"/>
              </w:tabs>
              <w:ind w:right="243"/>
              <w:rPr>
                <w:rFonts w:ascii="Arial" w:hAnsi="Arial" w:cs="Arial"/>
              </w:rPr>
            </w:pPr>
            <w:r w:rsidRPr="00CA5327">
              <w:rPr>
                <w:rFonts w:ascii="Arial" w:hAnsi="Arial" w:cs="Arial"/>
              </w:rPr>
              <w:t xml:space="preserve">Be sure to check out these resources on the Paycheck Protection Program: </w:t>
            </w:r>
          </w:p>
          <w:p w14:paraId="731BB6CC" w14:textId="77777777" w:rsidR="007E4EC0" w:rsidRPr="00CA5327" w:rsidRDefault="000E06A3" w:rsidP="00ED39F9">
            <w:pPr>
              <w:pStyle w:val="ListParagraph"/>
              <w:widowControl/>
              <w:numPr>
                <w:ilvl w:val="0"/>
                <w:numId w:val="13"/>
              </w:numPr>
              <w:tabs>
                <w:tab w:val="left" w:pos="6003"/>
              </w:tabs>
              <w:autoSpaceDE/>
              <w:autoSpaceDN/>
              <w:adjustRightInd/>
              <w:spacing w:line="276" w:lineRule="auto"/>
              <w:ind w:left="693" w:right="243"/>
              <w:contextualSpacing/>
              <w:rPr>
                <w:rFonts w:ascii="Arial" w:hAnsi="Arial" w:cs="Arial"/>
                <w:sz w:val="22"/>
                <w:szCs w:val="22"/>
              </w:rPr>
            </w:pPr>
            <w:hyperlink r:id="rId42" w:history="1">
              <w:r w:rsidR="007E4EC0" w:rsidRPr="00CA5327">
                <w:rPr>
                  <w:rStyle w:val="Hyperlink"/>
                  <w:rFonts w:ascii="Arial" w:hAnsi="Arial" w:cs="Arial"/>
                  <w:sz w:val="22"/>
                  <w:szCs w:val="22"/>
                </w:rPr>
                <w:t>Ethical implications to consider for PPP loan applications</w:t>
              </w:r>
            </w:hyperlink>
          </w:p>
          <w:p w14:paraId="0940B556" w14:textId="751EE5FC" w:rsidR="007E4EC0" w:rsidRDefault="000E06A3" w:rsidP="00ED39F9">
            <w:pPr>
              <w:pStyle w:val="ListParagraph"/>
              <w:widowControl/>
              <w:numPr>
                <w:ilvl w:val="0"/>
                <w:numId w:val="13"/>
              </w:numPr>
              <w:tabs>
                <w:tab w:val="left" w:pos="6003"/>
              </w:tabs>
              <w:autoSpaceDE/>
              <w:autoSpaceDN/>
              <w:adjustRightInd/>
              <w:spacing w:line="276" w:lineRule="auto"/>
              <w:ind w:left="693" w:right="243"/>
              <w:contextualSpacing/>
              <w:rPr>
                <w:rFonts w:ascii="Arial" w:hAnsi="Arial" w:cs="Arial"/>
                <w:sz w:val="22"/>
                <w:szCs w:val="22"/>
              </w:rPr>
            </w:pPr>
            <w:hyperlink r:id="rId43" w:history="1">
              <w:r w:rsidR="007E4EC0" w:rsidRPr="00CA5327">
                <w:rPr>
                  <w:rStyle w:val="Hyperlink"/>
                  <w:rFonts w:ascii="Arial" w:hAnsi="Arial" w:cs="Arial"/>
                  <w:sz w:val="22"/>
                  <w:szCs w:val="22"/>
                </w:rPr>
                <w:t>Impact on independence of accepting PPP agent fees</w:t>
              </w:r>
            </w:hyperlink>
          </w:p>
          <w:p w14:paraId="12795639" w14:textId="24E34245" w:rsidR="007E4EC0" w:rsidRPr="007E4EC0" w:rsidRDefault="007E4EC0" w:rsidP="00ED39F9">
            <w:pPr>
              <w:pStyle w:val="ListParagraph"/>
              <w:widowControl/>
              <w:numPr>
                <w:ilvl w:val="0"/>
                <w:numId w:val="13"/>
              </w:numPr>
              <w:tabs>
                <w:tab w:val="left" w:pos="6003"/>
              </w:tabs>
              <w:autoSpaceDE/>
              <w:autoSpaceDN/>
              <w:adjustRightInd/>
              <w:spacing w:after="0" w:line="276" w:lineRule="auto"/>
              <w:ind w:left="691" w:right="245"/>
              <w:contextualSpacing/>
              <w:rPr>
                <w:rStyle w:val="Hyperlink"/>
                <w:rFonts w:ascii="Arial" w:hAnsi="Arial" w:cs="Arial"/>
                <w:color w:val="auto"/>
                <w:sz w:val="22"/>
                <w:szCs w:val="22"/>
                <w:u w:val="none"/>
              </w:rPr>
            </w:pPr>
            <w:r w:rsidRPr="00CA5327">
              <w:rPr>
                <w:noProof/>
                <w:color w:val="005BBB"/>
              </w:rPr>
              <mc:AlternateContent>
                <mc:Choice Requires="wps">
                  <w:drawing>
                    <wp:anchor distT="0" distB="0" distL="114300" distR="114300" simplePos="0" relativeHeight="251748352" behindDoc="0" locked="0" layoutInCell="1" allowOverlap="1" wp14:anchorId="5838AB63" wp14:editId="5D163848">
                      <wp:simplePos x="0" y="0"/>
                      <wp:positionH relativeFrom="column">
                        <wp:posOffset>761159</wp:posOffset>
                      </wp:positionH>
                      <wp:positionV relativeFrom="paragraph">
                        <wp:posOffset>228231</wp:posOffset>
                      </wp:positionV>
                      <wp:extent cx="57150" cy="571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57150" cy="57150"/>
                              </a:xfrm>
                              <a:prstGeom prst="rect">
                                <a:avLst/>
                              </a:prstGeom>
                              <a:solidFill>
                                <a:srgbClr val="005BBB"/>
                              </a:solidFill>
                              <a:ln>
                                <a:solidFill>
                                  <a:srgbClr val="005BB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A1550" id="Rectangle 30" o:spid="_x0000_s1026" style="position:absolute;margin-left:59.95pt;margin-top:17.95pt;width:4.5pt;height: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" fillcolor="#005bbb" strokecolor="#005bbb" strokeweight="1pt"/>
                  </w:pict>
                </mc:Fallback>
              </mc:AlternateContent>
            </w:r>
            <w:hyperlink r:id="rId44" w:history="1">
              <w:r w:rsidRPr="00CA5327">
                <w:rPr>
                  <w:rStyle w:val="Hyperlink"/>
                  <w:rFonts w:ascii="Arial" w:hAnsi="Arial" w:cs="Arial"/>
                  <w:sz w:val="22"/>
                  <w:szCs w:val="22"/>
                </w:rPr>
                <w:t>Podcast: PPP. Ethics. Agent — How to untangle it all</w:t>
              </w:r>
            </w:hyperlink>
            <w:bookmarkEnd w:id="4"/>
            <w:r>
              <w:rPr>
                <w:rStyle w:val="Hyperlink"/>
                <w:rFonts w:ascii="Arial" w:hAnsi="Arial" w:cs="Arial"/>
                <w:sz w:val="22"/>
                <w:szCs w:val="22"/>
              </w:rPr>
              <w:t>.</w:t>
            </w:r>
          </w:p>
          <w:p w14:paraId="53ED821A" w14:textId="77777777" w:rsidR="007E4EC0" w:rsidRPr="007E4EC0" w:rsidRDefault="007E4EC0" w:rsidP="00ED39F9">
            <w:pPr>
              <w:widowControl/>
              <w:tabs>
                <w:tab w:val="left" w:pos="6003"/>
              </w:tabs>
              <w:autoSpaceDE/>
              <w:autoSpaceDN/>
              <w:adjustRightInd/>
              <w:spacing w:after="0" w:line="276" w:lineRule="auto"/>
              <w:ind w:right="245"/>
              <w:contextualSpacing/>
              <w:rPr>
                <w:rFonts w:ascii="Arial" w:hAnsi="Arial" w:cs="Arial"/>
              </w:rPr>
            </w:pPr>
          </w:p>
        </w:tc>
        <w:tc>
          <w:tcPr>
            <w:tcW w:w="2191" w:type="pct"/>
            <w:gridSpan w:val="2"/>
            <w:tcBorders>
              <w:top w:val="single" w:sz="12" w:space="0" w:color="005BBB"/>
              <w:left w:val="single" w:sz="12" w:space="0" w:color="005BBB"/>
              <w:bottom w:val="single" w:sz="12" w:space="0" w:color="005BBB"/>
              <w:right w:val="single" w:sz="12" w:space="0" w:color="005BBB"/>
            </w:tcBorders>
            <w:shd w:val="clear" w:color="auto" w:fill="F2F2F2" w:themeFill="background1" w:themeFillShade="F2"/>
            <w:tcMar>
              <w:left w:w="216" w:type="dxa"/>
              <w:right w:w="216" w:type="dxa"/>
            </w:tcMar>
          </w:tcPr>
          <w:p w14:paraId="59A4FE87" w14:textId="77777777" w:rsidR="007E4EC0" w:rsidRPr="003448CE" w:rsidRDefault="007E4EC0" w:rsidP="00ED39F9">
            <w:pPr>
              <w:spacing w:before="100" w:line="259" w:lineRule="auto"/>
              <w:rPr>
                <w:rFonts w:ascii="Arial" w:hAnsi="Arial" w:cs="Arial"/>
                <w:b/>
                <w:color w:val="005BBB"/>
                <w:sz w:val="36"/>
                <w:szCs w:val="36"/>
              </w:rPr>
            </w:pPr>
            <w:bookmarkStart w:id="6" w:name="_Hlk39037988"/>
            <w:r w:rsidRPr="003448CE">
              <w:rPr>
                <w:rFonts w:ascii="Arial" w:hAnsi="Arial" w:cs="Arial"/>
                <w:b/>
                <w:color w:val="005BBB"/>
                <w:sz w:val="36"/>
                <w:szCs w:val="36"/>
              </w:rPr>
              <w:t>PR Prompts: An eye on peer review</w:t>
            </w:r>
          </w:p>
          <w:bookmarkEnd w:id="6"/>
          <w:p w14:paraId="29C56E24" w14:textId="77777777" w:rsidR="007E4EC0" w:rsidRPr="00CA5327" w:rsidRDefault="007E4EC0" w:rsidP="00ED39F9">
            <w:pPr>
              <w:spacing w:before="100"/>
              <w:rPr>
                <w:rFonts w:ascii="Arial" w:hAnsi="Arial" w:cs="Arial"/>
                <w:b/>
                <w:i/>
                <w:iCs/>
                <w:color w:val="005BBB"/>
                <w:sz w:val="26"/>
                <w:szCs w:val="26"/>
              </w:rPr>
            </w:pPr>
            <w:r>
              <w:rPr>
                <w:rFonts w:ascii="Arial" w:hAnsi="Arial" w:cs="Arial"/>
                <w:b/>
                <w:i/>
                <w:iCs/>
                <w:color w:val="005BBB"/>
                <w:sz w:val="26"/>
                <w:szCs w:val="26"/>
              </w:rPr>
              <w:t>When does my f</w:t>
            </w:r>
            <w:r w:rsidRPr="005E0E12">
              <w:rPr>
                <w:rFonts w:ascii="Arial" w:hAnsi="Arial" w:cs="Arial"/>
                <w:b/>
                <w:i/>
                <w:iCs/>
                <w:color w:val="005BBB"/>
                <w:sz w:val="26"/>
                <w:szCs w:val="26"/>
              </w:rPr>
              <w:t xml:space="preserve">irm </w:t>
            </w:r>
            <w:r>
              <w:rPr>
                <w:rFonts w:ascii="Arial" w:hAnsi="Arial" w:cs="Arial"/>
                <w:b/>
                <w:i/>
                <w:iCs/>
                <w:color w:val="005BBB"/>
                <w:sz w:val="26"/>
                <w:szCs w:val="26"/>
              </w:rPr>
              <w:t>n</w:t>
            </w:r>
            <w:r w:rsidRPr="005E0E12">
              <w:rPr>
                <w:rFonts w:ascii="Arial" w:hAnsi="Arial" w:cs="Arial"/>
                <w:b/>
                <w:i/>
                <w:iCs/>
                <w:color w:val="005BBB"/>
                <w:sz w:val="26"/>
                <w:szCs w:val="26"/>
              </w:rPr>
              <w:t xml:space="preserve">eed a </w:t>
            </w:r>
            <w:r>
              <w:rPr>
                <w:rFonts w:ascii="Arial" w:hAnsi="Arial" w:cs="Arial"/>
                <w:b/>
                <w:i/>
                <w:iCs/>
                <w:color w:val="005BBB"/>
                <w:sz w:val="26"/>
                <w:szCs w:val="26"/>
              </w:rPr>
              <w:t>s</w:t>
            </w:r>
            <w:r w:rsidRPr="005E0E12">
              <w:rPr>
                <w:rFonts w:ascii="Arial" w:hAnsi="Arial" w:cs="Arial"/>
                <w:b/>
                <w:i/>
                <w:iCs/>
                <w:color w:val="005BBB"/>
                <w:sz w:val="26"/>
                <w:szCs w:val="26"/>
              </w:rPr>
              <w:t xml:space="preserve">ystem </w:t>
            </w:r>
            <w:r>
              <w:rPr>
                <w:rFonts w:ascii="Arial" w:hAnsi="Arial" w:cs="Arial"/>
                <w:b/>
                <w:i/>
                <w:iCs/>
                <w:color w:val="005BBB"/>
                <w:sz w:val="26"/>
                <w:szCs w:val="26"/>
              </w:rPr>
              <w:t>r</w:t>
            </w:r>
            <w:r w:rsidRPr="005E0E12">
              <w:rPr>
                <w:rFonts w:ascii="Arial" w:hAnsi="Arial" w:cs="Arial"/>
                <w:b/>
                <w:i/>
                <w:iCs/>
                <w:color w:val="005BBB"/>
                <w:sz w:val="26"/>
                <w:szCs w:val="26"/>
              </w:rPr>
              <w:t>eview</w:t>
            </w:r>
            <w:r>
              <w:rPr>
                <w:rFonts w:ascii="Arial" w:hAnsi="Arial" w:cs="Arial"/>
                <w:b/>
                <w:i/>
                <w:iCs/>
                <w:color w:val="005BBB"/>
                <w:sz w:val="26"/>
                <w:szCs w:val="26"/>
              </w:rPr>
              <w:t>?</w:t>
            </w:r>
          </w:p>
          <w:p w14:paraId="43301038" w14:textId="291F0752" w:rsidR="007E4EC0" w:rsidRDefault="00582FE1" w:rsidP="00ED39F9">
            <w:pPr>
              <w:rPr>
                <w:rFonts w:ascii="Arial" w:hAnsi="Arial" w:cs="Arial"/>
              </w:rPr>
            </w:pPr>
            <w:r w:rsidRPr="00CA5327">
              <w:rPr>
                <w:rFonts w:ascii="Arial" w:hAnsi="Arial" w:cs="Arial"/>
                <w:noProof/>
                <w:color w:val="005BBB"/>
              </w:rPr>
              <mc:AlternateContent>
                <mc:Choice Requires="wps">
                  <w:drawing>
                    <wp:anchor distT="0" distB="0" distL="114300" distR="114300" simplePos="0" relativeHeight="251749376" behindDoc="0" locked="0" layoutInCell="1" allowOverlap="1" wp14:anchorId="411F58EE" wp14:editId="6385C004">
                      <wp:simplePos x="0" y="0"/>
                      <wp:positionH relativeFrom="column">
                        <wp:posOffset>1174912</wp:posOffset>
                      </wp:positionH>
                      <wp:positionV relativeFrom="paragraph">
                        <wp:posOffset>2952750</wp:posOffset>
                      </wp:positionV>
                      <wp:extent cx="57150" cy="5715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57150" cy="57150"/>
                              </a:xfrm>
                              <a:prstGeom prst="rect">
                                <a:avLst/>
                              </a:prstGeom>
                              <a:solidFill>
                                <a:srgbClr val="005BBB"/>
                              </a:solidFill>
                              <a:ln>
                                <a:solidFill>
                                  <a:srgbClr val="005BB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0A1D6" id="Rectangle 31" o:spid="_x0000_s1026" style="position:absolute;margin-left:92.5pt;margin-top:232.5pt;width:4.5pt;height: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" fillcolor="#005bbb" strokecolor="#005bbb" strokeweight="1pt"/>
                  </w:pict>
                </mc:Fallback>
              </mc:AlternateContent>
            </w:r>
            <w:r w:rsidR="007E4EC0" w:rsidRPr="005E0E12">
              <w:rPr>
                <w:rFonts w:ascii="Arial" w:hAnsi="Arial" w:cs="Arial"/>
              </w:rPr>
              <w:t>If your firm performs an audit or an examination engagement under the Statements on Standards for Attestation Engagements (SSAEs), it will be required to have a system review</w:t>
            </w:r>
            <w:r>
              <w:rPr>
                <w:rFonts w:ascii="Arial" w:hAnsi="Arial" w:cs="Arial"/>
              </w:rPr>
              <w:t>, which</w:t>
            </w:r>
            <w:r w:rsidR="007E4EC0" w:rsidRPr="005E0E12">
              <w:rPr>
                <w:rFonts w:ascii="Arial" w:hAnsi="Arial" w:cs="Arial"/>
              </w:rPr>
              <w:t xml:space="preserve"> includes a review of your firm’s system of quality control. If your firm’s last peer review was an engagement review, </w:t>
            </w:r>
            <w:r w:rsidR="007E4EC0">
              <w:rPr>
                <w:rFonts w:ascii="Arial" w:hAnsi="Arial" w:cs="Arial"/>
              </w:rPr>
              <w:t xml:space="preserve">and you now perform audits or examination engagements, </w:t>
            </w:r>
            <w:r w:rsidR="007E4EC0" w:rsidRPr="005E0E12">
              <w:rPr>
                <w:rFonts w:ascii="Arial" w:hAnsi="Arial" w:cs="Arial"/>
              </w:rPr>
              <w:t xml:space="preserve">it is important that you contact your </w:t>
            </w:r>
            <w:hyperlink r:id="rId45" w:history="1">
              <w:r w:rsidR="007E4EC0" w:rsidRPr="00656D41">
                <w:rPr>
                  <w:rStyle w:val="Hyperlink"/>
                  <w:rFonts w:ascii="Arial" w:hAnsi="Arial" w:cs="Arial"/>
                </w:rPr>
                <w:t>administering entity</w:t>
              </w:r>
            </w:hyperlink>
            <w:r w:rsidR="007E4EC0" w:rsidRPr="005E0E12">
              <w:rPr>
                <w:rFonts w:ascii="Arial" w:hAnsi="Arial" w:cs="Arial"/>
              </w:rPr>
              <w:t>. Your next peer review will be a system review due the earlier of your firm’s next scheduled peer review due date or 18 months from the year-end of the initial audit or examination engagement performed.</w:t>
            </w:r>
            <w:r w:rsidRPr="005E0E12">
              <w:rPr>
                <w:rFonts w:ascii="Arial" w:hAnsi="Arial" w:cs="Arial"/>
              </w:rPr>
              <w:t xml:space="preserve"> If your firm’s last peer review was a system review, there will be no change to the type of review or the peer review cycle.</w:t>
            </w:r>
          </w:p>
          <w:p w14:paraId="25EB1621" w14:textId="77777777" w:rsidR="007E4EC0" w:rsidRPr="005E0E12" w:rsidRDefault="007E4EC0" w:rsidP="00ED39F9">
            <w:pPr>
              <w:spacing w:before="100"/>
              <w:rPr>
                <w:rFonts w:ascii="Arial" w:hAnsi="Arial" w:cs="Arial"/>
                <w:b/>
                <w:i/>
                <w:iCs/>
                <w:color w:val="005BBB"/>
                <w:sz w:val="26"/>
                <w:szCs w:val="26"/>
              </w:rPr>
            </w:pPr>
            <w:r w:rsidRPr="005E0E12">
              <w:rPr>
                <w:rFonts w:ascii="Arial" w:hAnsi="Arial" w:cs="Arial"/>
                <w:b/>
                <w:i/>
                <w:iCs/>
                <w:color w:val="005BBB"/>
                <w:sz w:val="26"/>
                <w:szCs w:val="26"/>
              </w:rPr>
              <w:t xml:space="preserve">Links to AICPA </w:t>
            </w:r>
            <w:r>
              <w:rPr>
                <w:rFonts w:ascii="Arial" w:hAnsi="Arial" w:cs="Arial"/>
                <w:b/>
                <w:i/>
                <w:iCs/>
                <w:color w:val="005BBB"/>
                <w:sz w:val="26"/>
                <w:szCs w:val="26"/>
              </w:rPr>
              <w:t>r</w:t>
            </w:r>
            <w:r w:rsidRPr="005E0E12">
              <w:rPr>
                <w:rFonts w:ascii="Arial" w:hAnsi="Arial" w:cs="Arial"/>
                <w:b/>
                <w:i/>
                <w:iCs/>
                <w:color w:val="005BBB"/>
                <w:sz w:val="26"/>
                <w:szCs w:val="26"/>
              </w:rPr>
              <w:t xml:space="preserve">esources </w:t>
            </w:r>
            <w:r>
              <w:rPr>
                <w:rFonts w:ascii="Arial" w:hAnsi="Arial" w:cs="Arial"/>
                <w:b/>
                <w:i/>
                <w:iCs/>
                <w:color w:val="005BBB"/>
                <w:sz w:val="26"/>
                <w:szCs w:val="26"/>
              </w:rPr>
              <w:t>now</w:t>
            </w:r>
            <w:r w:rsidRPr="005E0E12">
              <w:rPr>
                <w:rFonts w:ascii="Arial" w:hAnsi="Arial" w:cs="Arial"/>
                <w:b/>
                <w:i/>
                <w:iCs/>
                <w:color w:val="005BBB"/>
                <w:sz w:val="26"/>
                <w:szCs w:val="26"/>
              </w:rPr>
              <w:t xml:space="preserve"> in PRIMA</w:t>
            </w:r>
          </w:p>
          <w:p w14:paraId="46BCA50A" w14:textId="1CBBBC33" w:rsidR="007E4EC0" w:rsidRPr="005E0E12" w:rsidRDefault="007E4EC0" w:rsidP="00ED39F9">
            <w:pPr>
              <w:rPr>
                <w:rFonts w:ascii="Arial" w:hAnsi="Arial" w:cs="Arial"/>
              </w:rPr>
            </w:pPr>
            <w:r w:rsidRPr="005E0E12">
              <w:rPr>
                <w:rFonts w:ascii="Arial" w:hAnsi="Arial" w:cs="Arial"/>
              </w:rPr>
              <w:t xml:space="preserve">The AICPA added a Resources section on your </w:t>
            </w:r>
            <w:r>
              <w:rPr>
                <w:rFonts w:ascii="Arial" w:hAnsi="Arial" w:cs="Arial"/>
              </w:rPr>
              <w:t xml:space="preserve">PRIMA </w:t>
            </w:r>
            <w:r w:rsidRPr="005E0E12">
              <w:rPr>
                <w:rFonts w:ascii="Arial" w:hAnsi="Arial" w:cs="Arial"/>
              </w:rPr>
              <w:t>home scree</w:t>
            </w:r>
            <w:r>
              <w:rPr>
                <w:rFonts w:ascii="Arial" w:hAnsi="Arial" w:cs="Arial"/>
              </w:rPr>
              <w:t>n</w:t>
            </w:r>
            <w:r w:rsidRPr="005E0E12">
              <w:rPr>
                <w:rFonts w:ascii="Arial" w:hAnsi="Arial" w:cs="Arial"/>
              </w:rPr>
              <w:t xml:space="preserve">. This section provides links to recommended resources for your firm based on the information your firm provided during </w:t>
            </w:r>
            <w:r>
              <w:rPr>
                <w:rFonts w:ascii="Arial" w:hAnsi="Arial" w:cs="Arial"/>
              </w:rPr>
              <w:t>the</w:t>
            </w:r>
            <w:r w:rsidRPr="005E0E12">
              <w:rPr>
                <w:rFonts w:ascii="Arial" w:hAnsi="Arial" w:cs="Arial"/>
              </w:rPr>
              <w:t xml:space="preserve"> last peer review, or when enrolling in the Peer Review Program. Anyone in your firm whose AICPA.org account lists your firm as their employer </w:t>
            </w:r>
            <w:r w:rsidR="00051AEE" w:rsidRPr="00051AEE">
              <w:rPr>
                <w:rFonts w:ascii="Arial" w:hAnsi="Arial" w:cs="Arial"/>
              </w:rPr>
              <w:t>may</w:t>
            </w:r>
            <w:r w:rsidR="00051AEE">
              <w:t xml:space="preserve"> </w:t>
            </w:r>
            <w:r w:rsidRPr="005E0E12">
              <w:rPr>
                <w:rFonts w:ascii="Arial" w:hAnsi="Arial" w:cs="Arial"/>
              </w:rPr>
              <w:t>access the Resources sectio</w:t>
            </w:r>
            <w:r>
              <w:rPr>
                <w:rFonts w:ascii="Arial" w:hAnsi="Arial" w:cs="Arial"/>
              </w:rPr>
              <w:t>n</w:t>
            </w:r>
            <w:r w:rsidRPr="005E0E12">
              <w:rPr>
                <w:rFonts w:ascii="Arial" w:hAnsi="Arial" w:cs="Arial"/>
              </w:rPr>
              <w:t xml:space="preserve">. </w:t>
            </w:r>
          </w:p>
          <w:p w14:paraId="4E143B30" w14:textId="6A5AD092" w:rsidR="007E4EC0" w:rsidRDefault="00582FE1" w:rsidP="00ED39F9">
            <w:pPr>
              <w:spacing w:after="0"/>
              <w:rPr>
                <w:rFonts w:ascii="Arial" w:hAnsi="Arial" w:cs="Arial"/>
              </w:rPr>
            </w:pPr>
            <w:r w:rsidRPr="00CA5327">
              <w:rPr>
                <w:rFonts w:ascii="Arial" w:hAnsi="Arial" w:cs="Arial"/>
                <w:noProof/>
                <w:color w:val="005BBB"/>
              </w:rPr>
              <mc:AlternateContent>
                <mc:Choice Requires="wps">
                  <w:drawing>
                    <wp:anchor distT="0" distB="0" distL="114300" distR="114300" simplePos="0" relativeHeight="251758592" behindDoc="0" locked="0" layoutInCell="1" allowOverlap="1" wp14:anchorId="3E8F2A29" wp14:editId="0FEFC326">
                      <wp:simplePos x="0" y="0"/>
                      <wp:positionH relativeFrom="column">
                        <wp:posOffset>1346363</wp:posOffset>
                      </wp:positionH>
                      <wp:positionV relativeFrom="paragraph">
                        <wp:posOffset>1804818</wp:posOffset>
                      </wp:positionV>
                      <wp:extent cx="57150" cy="571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7150" cy="57150"/>
                              </a:xfrm>
                              <a:prstGeom prst="rect">
                                <a:avLst/>
                              </a:prstGeom>
                              <a:solidFill>
                                <a:srgbClr val="005BBB"/>
                              </a:solidFill>
                              <a:ln>
                                <a:solidFill>
                                  <a:srgbClr val="005BB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1B6B1" id="Rectangle 2" o:spid="_x0000_s1026" style="position:absolute;margin-left:106pt;margin-top:142.1pt;width:4.5pt;height: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" fillcolor="#005bbb" strokecolor="#005bbb" strokeweight="1pt"/>
                  </w:pict>
                </mc:Fallback>
              </mc:AlternateContent>
            </w:r>
            <w:r w:rsidR="007E4EC0" w:rsidRPr="005E0E12">
              <w:rPr>
                <w:rFonts w:ascii="Arial" w:hAnsi="Arial" w:cs="Arial"/>
              </w:rPr>
              <w:t xml:space="preserve">The resources include free practice aids and toolkits, CPE and guides for purchase. Some examples include risk assessment </w:t>
            </w:r>
            <w:r w:rsidR="007E4EC0">
              <w:rPr>
                <w:rFonts w:ascii="Arial" w:hAnsi="Arial" w:cs="Arial"/>
              </w:rPr>
              <w:t>and</w:t>
            </w:r>
            <w:r w:rsidR="007E4EC0" w:rsidRPr="005E0E12">
              <w:rPr>
                <w:rFonts w:ascii="Arial" w:hAnsi="Arial" w:cs="Arial"/>
              </w:rPr>
              <w:t xml:space="preserve"> revenue recognition resources and materials related to recently issued auditing and attestation standards, including ASU 2016-14 for not-for-profit entities and SAS No. 136 for ERISA audit engagements.</w:t>
            </w:r>
            <w:r w:rsidR="007E4EC0">
              <w:rPr>
                <w:rFonts w:ascii="Arial" w:hAnsi="Arial" w:cs="Arial"/>
              </w:rPr>
              <w:t xml:space="preserve"> </w:t>
            </w:r>
            <w:r w:rsidR="007E4EC0" w:rsidRPr="005E0E12">
              <w:rPr>
                <w:rFonts w:ascii="Arial" w:hAnsi="Arial" w:cs="Arial"/>
              </w:rPr>
              <w:t>There are also general peer review resources, including common issues identified in peer review, FAQs and quality control practice aids</w:t>
            </w:r>
            <w:r w:rsidR="007E4EC0">
              <w:rPr>
                <w:rFonts w:ascii="Arial" w:hAnsi="Arial" w:cs="Arial"/>
              </w:rPr>
              <w:t>.</w:t>
            </w:r>
            <w:r w:rsidRPr="00CA5327">
              <w:rPr>
                <w:rFonts w:ascii="Arial" w:hAnsi="Arial" w:cs="Arial"/>
                <w:noProof/>
                <w:color w:val="005BBB"/>
              </w:rPr>
              <w:t xml:space="preserve"> </w:t>
            </w:r>
          </w:p>
          <w:p w14:paraId="792F7002" w14:textId="77777777" w:rsidR="007E4EC0" w:rsidRPr="0077613F" w:rsidRDefault="007E4EC0" w:rsidP="00ED39F9">
            <w:pPr>
              <w:spacing w:after="0"/>
              <w:rPr>
                <w:rFonts w:ascii="Arial" w:hAnsi="Arial" w:cs="Arial"/>
              </w:rPr>
            </w:pPr>
          </w:p>
        </w:tc>
      </w:tr>
      <w:tr w:rsidR="007E4EC0" w:rsidRPr="002606D8" w14:paraId="1E7A2A4A" w14:textId="77777777" w:rsidTr="007E4EC0">
        <w:tblPrEx>
          <w:jc w:val="center"/>
        </w:tblPrEx>
        <w:trPr>
          <w:trHeight w:val="576"/>
          <w:jc w:val="center"/>
        </w:trPr>
        <w:tc>
          <w:tcPr>
            <w:tcW w:w="5000" w:type="pct"/>
            <w:gridSpan w:val="5"/>
            <w:shd w:val="clear" w:color="auto" w:fill="005BBB"/>
            <w:vAlign w:val="center"/>
          </w:tcPr>
          <w:p w14:paraId="043C75A7" w14:textId="77777777" w:rsidR="007E4EC0" w:rsidRPr="002606D8" w:rsidRDefault="007E4EC0" w:rsidP="00ED39F9">
            <w:pPr>
              <w:pStyle w:val="Heading1"/>
              <w:spacing w:before="0" w:after="0"/>
              <w:rPr>
                <w:rFonts w:ascii="Arial" w:hAnsi="Arial" w:cs="Arial"/>
                <w:bCs w:val="0"/>
                <w:caps w:val="0"/>
                <w:color w:val="FFFFFF" w:themeColor="background1"/>
                <w:sz w:val="32"/>
                <w:szCs w:val="32"/>
              </w:rPr>
            </w:pPr>
            <w:r w:rsidRPr="002606D8">
              <w:rPr>
                <w:rFonts w:asciiTheme="minorHAnsi" w:hAnsiTheme="minorHAnsi" w:cs="Georgia"/>
                <w:b w:val="0"/>
                <w:bCs w:val="0"/>
                <w:caps w:val="0"/>
                <w:color w:val="auto"/>
                <w:sz w:val="32"/>
                <w:szCs w:val="32"/>
              </w:rPr>
              <w:lastRenderedPageBreak/>
              <w:br w:type="page"/>
            </w:r>
            <w:r w:rsidRPr="002606D8">
              <w:rPr>
                <w:sz w:val="32"/>
                <w:szCs w:val="32"/>
              </w:rPr>
              <w:br w:type="page"/>
            </w:r>
            <w:r w:rsidRPr="002606D8">
              <w:rPr>
                <w:rFonts w:ascii="Calibri Light" w:hAnsi="Calibri Light" w:cs="Georgia"/>
                <w:bCs w:val="0"/>
                <w:color w:val="FFFFFF" w:themeColor="background1"/>
                <w:sz w:val="32"/>
                <w:szCs w:val="32"/>
              </w:rPr>
              <w:br w:type="page"/>
            </w:r>
            <w:r w:rsidRPr="0086671D">
              <w:rPr>
                <w:rFonts w:ascii="Arial" w:hAnsi="Arial" w:cs="Arial"/>
                <w:bCs w:val="0"/>
                <w:caps w:val="0"/>
                <w:color w:val="FFFFFF" w:themeColor="background1"/>
                <w:sz w:val="32"/>
                <w:szCs w:val="32"/>
              </w:rPr>
              <w:t>Emerge or fall behind: A spotlight on technology</w:t>
            </w:r>
          </w:p>
        </w:tc>
      </w:tr>
      <w:tr w:rsidR="007E4EC0" w:rsidRPr="009F607A" w14:paraId="4DCDC820" w14:textId="77777777" w:rsidTr="007E4EC0">
        <w:tblPrEx>
          <w:jc w:val="center"/>
        </w:tblPrEx>
        <w:trPr>
          <w:trHeight w:val="5328"/>
          <w:jc w:val="center"/>
        </w:trPr>
        <w:tc>
          <w:tcPr>
            <w:tcW w:w="1819" w:type="pct"/>
            <w:tcMar>
              <w:right w:w="216" w:type="dxa"/>
            </w:tcMar>
          </w:tcPr>
          <w:p w14:paraId="4FB50936" w14:textId="77777777" w:rsidR="007E4EC0" w:rsidRPr="00B57F7C" w:rsidRDefault="007E4EC0" w:rsidP="00ED39F9">
            <w:pPr>
              <w:spacing w:before="100"/>
              <w:rPr>
                <w:rFonts w:ascii="Arial" w:hAnsi="Arial" w:cs="Arial"/>
                <w:b/>
                <w:color w:val="005BBB"/>
                <w:sz w:val="26"/>
                <w:szCs w:val="26"/>
              </w:rPr>
            </w:pPr>
            <w:r w:rsidRPr="00637FD1">
              <w:rPr>
                <w:rFonts w:ascii="Arial" w:hAnsi="Arial" w:cs="Arial"/>
                <w:b/>
                <w:color w:val="005BBB"/>
                <w:sz w:val="26"/>
                <w:szCs w:val="26"/>
              </w:rPr>
              <w:t>Digital Assets</w:t>
            </w:r>
          </w:p>
          <w:p w14:paraId="6F2F3C86" w14:textId="77777777" w:rsidR="007E4EC0" w:rsidRPr="003674DC" w:rsidRDefault="007E4EC0" w:rsidP="00ED39F9">
            <w:pPr>
              <w:pStyle w:val="NormalWeb"/>
              <w:shd w:val="clear" w:color="auto" w:fill="FFFFFF"/>
              <w:spacing w:before="0" w:beforeAutospacing="0" w:after="300" w:afterAutospacing="0"/>
              <w:rPr>
                <w:rFonts w:ascii="Arial" w:hAnsi="Arial" w:cs="Arial"/>
                <w:color w:val="111111"/>
                <w:sz w:val="22"/>
                <w:szCs w:val="22"/>
              </w:rPr>
            </w:pPr>
            <w:r w:rsidRPr="003674DC">
              <w:rPr>
                <w:rFonts w:ascii="Arial" w:hAnsi="Arial" w:cs="Arial"/>
                <w:color w:val="111111"/>
                <w:sz w:val="22"/>
                <w:szCs w:val="22"/>
              </w:rPr>
              <w:t xml:space="preserve">The digital asset ecosystem is changing and expanding rapidly. For financial statement preparers or auditors, either currently in the digital asset ecosystem, or considering entering it, the </w:t>
            </w:r>
            <w:hyperlink r:id="rId46" w:history="1">
              <w:r w:rsidRPr="003674DC">
                <w:rPr>
                  <w:rStyle w:val="Hyperlink"/>
                  <w:rFonts w:ascii="Arial" w:hAnsi="Arial" w:cs="Arial"/>
                  <w:sz w:val="22"/>
                  <w:szCs w:val="22"/>
                </w:rPr>
                <w:t>AICPA’s Digital Assets Working Group developed a practice aid</w:t>
              </w:r>
            </w:hyperlink>
            <w:r w:rsidRPr="003674DC">
              <w:rPr>
                <w:rFonts w:ascii="Arial" w:hAnsi="Arial" w:cs="Arial"/>
                <w:color w:val="111111"/>
                <w:sz w:val="22"/>
                <w:szCs w:val="22"/>
              </w:rPr>
              <w:t xml:space="preserve">, which includes vital information for </w:t>
            </w:r>
            <w:r>
              <w:rPr>
                <w:rFonts w:ascii="Arial" w:hAnsi="Arial" w:cs="Arial"/>
                <w:color w:val="111111"/>
                <w:sz w:val="22"/>
                <w:szCs w:val="22"/>
              </w:rPr>
              <w:t>you</w:t>
            </w:r>
            <w:r w:rsidRPr="003674DC">
              <w:rPr>
                <w:rFonts w:ascii="Arial" w:hAnsi="Arial" w:cs="Arial"/>
                <w:color w:val="111111"/>
                <w:sz w:val="22"/>
                <w:szCs w:val="22"/>
              </w:rPr>
              <w:t xml:space="preserve"> on how to account for and audit digital assets. It is intended for those with a fundamental knowledge of blockchain technology, is based on existing professional literature and the experience of members of the Digital Assets Working Group and is specific to U.S. GAAP and GAAS.</w:t>
            </w:r>
          </w:p>
          <w:p w14:paraId="0231CDB4" w14:textId="77777777" w:rsidR="007E4EC0" w:rsidRPr="003674DC" w:rsidRDefault="007E4EC0" w:rsidP="00ED39F9">
            <w:pPr>
              <w:pStyle w:val="NormalWeb"/>
              <w:shd w:val="clear" w:color="auto" w:fill="FFFFFF"/>
              <w:spacing w:before="0" w:beforeAutospacing="0" w:after="300" w:afterAutospacing="0"/>
              <w:rPr>
                <w:rFonts w:ascii="Arial" w:hAnsi="Arial" w:cs="Arial"/>
                <w:sz w:val="22"/>
                <w:szCs w:val="22"/>
              </w:rPr>
            </w:pPr>
            <w:r w:rsidRPr="009C4EDE">
              <w:rPr>
                <w:rFonts w:ascii="Arial" w:hAnsi="Arial" w:cs="Arial"/>
                <w:noProof/>
                <w:sz w:val="22"/>
                <w:szCs w:val="22"/>
              </w:rPr>
              <mc:AlternateContent>
                <mc:Choice Requires="wps">
                  <w:drawing>
                    <wp:anchor distT="0" distB="0" distL="114300" distR="114300" simplePos="0" relativeHeight="251754496" behindDoc="0" locked="0" layoutInCell="1" allowOverlap="1" wp14:anchorId="6A835002" wp14:editId="4AA15B81">
                      <wp:simplePos x="0" y="0"/>
                      <wp:positionH relativeFrom="column">
                        <wp:posOffset>1632992</wp:posOffset>
                      </wp:positionH>
                      <wp:positionV relativeFrom="paragraph">
                        <wp:posOffset>1312545</wp:posOffset>
                      </wp:positionV>
                      <wp:extent cx="45719" cy="45719"/>
                      <wp:effectExtent l="0" t="0" r="12065" b="12065"/>
                      <wp:wrapNone/>
                      <wp:docPr id="9" name="Rectangle 9"/>
                      <wp:cNvGraphicFramePr/>
                      <a:graphic xmlns:a="http://schemas.openxmlformats.org/drawingml/2006/main">
                        <a:graphicData uri="http://schemas.microsoft.com/office/word/2010/wordprocessingShape">
                          <wps:wsp>
                            <wps:cNvSpPr/>
                            <wps:spPr>
                              <a:xfrm flipH="1">
                                <a:off x="0" y="0"/>
                                <a:ext cx="45719" cy="45719"/>
                              </a:xfrm>
                              <a:prstGeom prst="rect">
                                <a:avLst/>
                              </a:prstGeom>
                              <a:solidFill>
                                <a:srgbClr val="005BBB"/>
                              </a:solidFill>
                              <a:ln>
                                <a:solidFill>
                                  <a:srgbClr val="005BB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50DFB" id="Rectangle 9" o:spid="_x0000_s1026" style="position:absolute;margin-left:128.6pt;margin-top:103.35pt;width:3.6pt;height:3.6pt;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" fillcolor="#005bbb" strokecolor="#005bbb" strokeweight="1pt"/>
                  </w:pict>
                </mc:Fallback>
              </mc:AlternateContent>
            </w:r>
            <w:r w:rsidRPr="009C4EDE">
              <w:rPr>
                <w:rFonts w:ascii="Arial" w:hAnsi="Arial" w:cs="Arial"/>
                <w:noProof/>
                <w:sz w:val="22"/>
                <w:szCs w:val="22"/>
              </w:rPr>
              <w:t>If your firm is</w:t>
            </w:r>
            <w:r w:rsidRPr="009C4EDE">
              <w:rPr>
                <w:rFonts w:ascii="Arial" w:hAnsi="Arial" w:cs="Arial"/>
                <w:sz w:val="22"/>
                <w:szCs w:val="22"/>
                <w:shd w:val="clear" w:color="auto" w:fill="FFFFFF"/>
              </w:rPr>
              <w:t xml:space="preserve"> </w:t>
            </w:r>
            <w:r w:rsidRPr="003674DC">
              <w:rPr>
                <w:rFonts w:ascii="Arial" w:hAnsi="Arial" w:cs="Arial"/>
                <w:color w:val="111111"/>
                <w:sz w:val="22"/>
                <w:szCs w:val="22"/>
                <w:shd w:val="clear" w:color="auto" w:fill="FFFFFF"/>
              </w:rPr>
              <w:t xml:space="preserve">considering accepting or continuing audit engagements that involve digital assets, it is important for </w:t>
            </w:r>
            <w:r>
              <w:rPr>
                <w:rFonts w:ascii="Arial" w:hAnsi="Arial" w:cs="Arial"/>
                <w:color w:val="111111"/>
                <w:sz w:val="22"/>
                <w:szCs w:val="22"/>
                <w:shd w:val="clear" w:color="auto" w:fill="FFFFFF"/>
              </w:rPr>
              <w:t>you</w:t>
            </w:r>
            <w:r w:rsidRPr="003674DC">
              <w:rPr>
                <w:rFonts w:ascii="Arial" w:hAnsi="Arial" w:cs="Arial"/>
                <w:color w:val="111111"/>
                <w:sz w:val="22"/>
                <w:szCs w:val="22"/>
                <w:shd w:val="clear" w:color="auto" w:fill="FFFFFF"/>
              </w:rPr>
              <w:t xml:space="preserve"> to critically consider the potential risks unique to the digital asset ecosystem and skillsets necessary before concluding on whether to accept or continue an engagement.</w:t>
            </w:r>
            <w:r w:rsidRPr="003674DC">
              <w:rPr>
                <w:rFonts w:ascii="Arial" w:hAnsi="Arial" w:cs="Arial"/>
                <w:sz w:val="22"/>
                <w:szCs w:val="22"/>
              </w:rPr>
              <w:t xml:space="preserve"> </w:t>
            </w:r>
          </w:p>
          <w:p w14:paraId="4BAD30F5" w14:textId="77777777" w:rsidR="007E4EC0" w:rsidRPr="00B57F7C" w:rsidRDefault="007E4EC0" w:rsidP="00ED39F9">
            <w:pPr>
              <w:rPr>
                <w:rFonts w:ascii="Arial" w:hAnsi="Arial" w:cs="Arial"/>
                <w:color w:val="005BBB"/>
                <w:sz w:val="26"/>
                <w:szCs w:val="26"/>
              </w:rPr>
            </w:pPr>
            <w:r w:rsidRPr="00637FD1">
              <w:rPr>
                <w:rFonts w:ascii="Arial" w:hAnsi="Arial" w:cs="Arial"/>
                <w:b/>
                <w:color w:val="005BBB"/>
                <w:sz w:val="26"/>
                <w:szCs w:val="26"/>
              </w:rPr>
              <w:t>Data Integrity</w:t>
            </w:r>
          </w:p>
          <w:p w14:paraId="4E3BF42F" w14:textId="77777777" w:rsidR="007E4EC0" w:rsidRPr="009F607A" w:rsidRDefault="007E4EC0" w:rsidP="00ED39F9">
            <w:pPr>
              <w:rPr>
                <w:rFonts w:ascii="Arial" w:hAnsi="Arial" w:cs="Arial"/>
              </w:rPr>
            </w:pPr>
            <w:r w:rsidRPr="009F607A">
              <w:rPr>
                <w:rFonts w:ascii="Arial" w:hAnsi="Arial" w:cs="Arial"/>
                <w:color w:val="111111"/>
                <w:shd w:val="clear" w:color="auto" w:fill="FFFFFF"/>
              </w:rPr>
              <w:t xml:space="preserve">The AICPA’s Assurance Services Executive Committee (ASEC) Trust Information Integrity Task Force has developed new </w:t>
            </w:r>
            <w:hyperlink r:id="rId47" w:tgtFrame="_blank" w:history="1">
              <w:r w:rsidRPr="009F607A">
                <w:rPr>
                  <w:rStyle w:val="Hyperlink"/>
                  <w:rFonts w:ascii="Arial" w:hAnsi="Arial" w:cs="Arial"/>
                  <w:color w:val="72246C"/>
                </w:rPr>
                <w:t>AICPA Criteria for describing a set of data and evaluating its integrity</w:t>
              </w:r>
            </w:hyperlink>
            <w:r w:rsidRPr="009F607A">
              <w:rPr>
                <w:rFonts w:ascii="Arial" w:hAnsi="Arial" w:cs="Arial"/>
                <w:color w:val="111111"/>
              </w:rPr>
              <w:t xml:space="preserve"> and a </w:t>
            </w:r>
            <w:hyperlink r:id="rId48" w:tgtFrame="_blank" w:history="1">
              <w:r w:rsidRPr="009F607A">
                <w:rPr>
                  <w:rStyle w:val="Hyperlink"/>
                  <w:rFonts w:ascii="Arial" w:hAnsi="Arial" w:cs="Arial"/>
                  <w:color w:val="72246C"/>
                </w:rPr>
                <w:t>background of illustrative use cases for applying criteria</w:t>
              </w:r>
            </w:hyperlink>
            <w:r w:rsidRPr="009F607A">
              <w:rPr>
                <w:rFonts w:ascii="Arial" w:hAnsi="Arial" w:cs="Arial"/>
                <w:color w:val="111111"/>
                <w:shd w:val="clear" w:color="auto" w:fill="FFFFFF"/>
              </w:rPr>
              <w:t xml:space="preserve">. The new criteria can be used to assist management, board of directors, internal auditors, and other stakeholder in determining the relevance of the data to the users’ purpose and making decisions based on that set of data. </w:t>
            </w:r>
            <w:r>
              <w:rPr>
                <w:rFonts w:ascii="Arial" w:hAnsi="Arial" w:cs="Arial"/>
                <w:color w:val="111111"/>
                <w:shd w:val="clear" w:color="auto" w:fill="FFFFFF"/>
              </w:rPr>
              <w:t>You can use t</w:t>
            </w:r>
            <w:r w:rsidRPr="009F607A">
              <w:rPr>
                <w:rFonts w:ascii="Arial" w:hAnsi="Arial" w:cs="Arial"/>
                <w:color w:val="111111"/>
                <w:shd w:val="clear" w:color="auto" w:fill="FFFFFF"/>
              </w:rPr>
              <w:t xml:space="preserve">he new criteria in an attestation engagement on the description or the set of data. In such an examination or review </w:t>
            </w:r>
          </w:p>
        </w:tc>
        <w:tc>
          <w:tcPr>
            <w:tcW w:w="1641" w:type="pct"/>
            <w:gridSpan w:val="2"/>
            <w:tcMar>
              <w:right w:w="216" w:type="dxa"/>
            </w:tcMar>
          </w:tcPr>
          <w:p w14:paraId="6D137CFF" w14:textId="77777777" w:rsidR="007E4EC0" w:rsidRPr="00885699" w:rsidRDefault="007E4EC0" w:rsidP="00ED39F9">
            <w:pPr>
              <w:spacing w:after="0"/>
              <w:rPr>
                <w:rFonts w:ascii="Arial" w:hAnsi="Arial" w:cs="Arial"/>
                <w:sz w:val="10"/>
                <w:szCs w:val="10"/>
              </w:rPr>
            </w:pPr>
          </w:p>
          <w:p w14:paraId="1FAF3F3F" w14:textId="77777777" w:rsidR="007E4EC0" w:rsidRPr="009F607A" w:rsidRDefault="007E4EC0" w:rsidP="00ED39F9">
            <w:pPr>
              <w:spacing w:after="0"/>
              <w:rPr>
                <w:rFonts w:ascii="Arial" w:hAnsi="Arial" w:cs="Arial"/>
              </w:rPr>
            </w:pPr>
            <w:r w:rsidRPr="003674DC">
              <w:rPr>
                <w:rFonts w:ascii="Arial" w:hAnsi="Arial" w:cs="Arial"/>
                <w:noProof/>
                <w:color w:val="005BBB"/>
              </w:rPr>
              <mc:AlternateContent>
                <mc:Choice Requires="wps">
                  <w:drawing>
                    <wp:anchor distT="0" distB="0" distL="114300" distR="114300" simplePos="0" relativeHeight="251755520" behindDoc="0" locked="0" layoutInCell="1" allowOverlap="1" wp14:anchorId="2B404A97" wp14:editId="5C7A5DD1">
                      <wp:simplePos x="0" y="0"/>
                      <wp:positionH relativeFrom="column">
                        <wp:posOffset>712648</wp:posOffset>
                      </wp:positionH>
                      <wp:positionV relativeFrom="paragraph">
                        <wp:posOffset>2435148</wp:posOffset>
                      </wp:positionV>
                      <wp:extent cx="57150" cy="571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7150" cy="57150"/>
                              </a:xfrm>
                              <a:prstGeom prst="rect">
                                <a:avLst/>
                              </a:prstGeom>
                              <a:solidFill>
                                <a:srgbClr val="005BBB"/>
                              </a:solidFill>
                              <a:ln>
                                <a:solidFill>
                                  <a:srgbClr val="005BB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EF291" id="Rectangle 3" o:spid="_x0000_s1026" style="position:absolute;margin-left:56.1pt;margin-top:191.75pt;width:4.5pt;height:4.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" fillcolor="#005bbb" strokecolor="#005bbb" strokeweight="1pt"/>
                  </w:pict>
                </mc:Fallback>
              </mc:AlternateContent>
            </w:r>
            <w:r w:rsidRPr="009F607A">
              <w:rPr>
                <w:rFonts w:ascii="Arial" w:hAnsi="Arial" w:cs="Arial"/>
                <w:color w:val="111111"/>
                <w:shd w:val="clear" w:color="auto" w:fill="FFFFFF"/>
              </w:rPr>
              <w:t xml:space="preserve">engagement, </w:t>
            </w:r>
            <w:r>
              <w:rPr>
                <w:rFonts w:ascii="Arial" w:hAnsi="Arial" w:cs="Arial"/>
                <w:color w:val="111111"/>
                <w:shd w:val="clear" w:color="auto" w:fill="FFFFFF"/>
              </w:rPr>
              <w:t>you</w:t>
            </w:r>
            <w:r w:rsidRPr="009F607A">
              <w:rPr>
                <w:rFonts w:ascii="Arial" w:hAnsi="Arial" w:cs="Arial"/>
                <w:color w:val="111111"/>
                <w:shd w:val="clear" w:color="auto" w:fill="FFFFFF"/>
              </w:rPr>
              <w:t xml:space="preserve"> use the</w:t>
            </w:r>
            <w:r w:rsidRPr="003674DC">
              <w:rPr>
                <w:rFonts w:ascii="Arial" w:hAnsi="Arial" w:cs="Arial"/>
                <w:noProof/>
                <w:color w:val="005BBB"/>
              </w:rPr>
              <w:t xml:space="preserve"> </w:t>
            </w:r>
            <w:r w:rsidRPr="009F607A">
              <w:rPr>
                <w:rFonts w:ascii="Arial" w:hAnsi="Arial" w:cs="Arial"/>
                <w:color w:val="111111"/>
                <w:shd w:val="clear" w:color="auto" w:fill="FFFFFF"/>
              </w:rPr>
              <w:t xml:space="preserve">criteria when evaluating the description, the set of data, or both. The criteria in this document may also be used when </w:t>
            </w:r>
            <w:r>
              <w:rPr>
                <w:rFonts w:ascii="Arial" w:hAnsi="Arial" w:cs="Arial"/>
                <w:color w:val="111111"/>
                <w:shd w:val="clear" w:color="auto" w:fill="FFFFFF"/>
              </w:rPr>
              <w:t>you are</w:t>
            </w:r>
            <w:r w:rsidRPr="009F607A">
              <w:rPr>
                <w:rFonts w:ascii="Arial" w:hAnsi="Arial" w:cs="Arial"/>
                <w:color w:val="111111"/>
                <w:shd w:val="clear" w:color="auto" w:fill="FFFFFF"/>
              </w:rPr>
              <w:t xml:space="preserve"> engaged to provide other nonattest or advisory services to a client. </w:t>
            </w:r>
            <w:r w:rsidRPr="009F607A">
              <w:rPr>
                <w:rFonts w:ascii="Arial" w:hAnsi="Arial" w:cs="Arial"/>
                <w:color w:val="111111"/>
              </w:rPr>
              <w:t xml:space="preserve">The purpose of the background of illustrative use cases for applying criteria is to provide examples of how and under what circumstances the </w:t>
            </w:r>
            <w:hyperlink r:id="rId49" w:tgtFrame="_blank" w:history="1">
              <w:r w:rsidRPr="009F607A">
                <w:rPr>
                  <w:rStyle w:val="Hyperlink"/>
                  <w:rFonts w:ascii="Arial" w:hAnsi="Arial" w:cs="Arial"/>
                  <w:color w:val="72246C"/>
                </w:rPr>
                <w:t>AICPA Criteria for describing a set of data and evaluating its integrity</w:t>
              </w:r>
            </w:hyperlink>
            <w:r w:rsidRPr="009F607A">
              <w:rPr>
                <w:rFonts w:ascii="Arial" w:hAnsi="Arial" w:cs="Arial"/>
              </w:rPr>
              <w:t xml:space="preserve"> </w:t>
            </w:r>
            <w:r w:rsidRPr="009F607A">
              <w:rPr>
                <w:rFonts w:ascii="Arial" w:hAnsi="Arial" w:cs="Arial"/>
                <w:color w:val="111111"/>
              </w:rPr>
              <w:t>can be used by entities and CPAs.</w:t>
            </w:r>
          </w:p>
          <w:p w14:paraId="211A0A10" w14:textId="77777777" w:rsidR="007E4EC0" w:rsidRPr="00CF01CB" w:rsidRDefault="007E4EC0" w:rsidP="00ED39F9">
            <w:pPr>
              <w:pStyle w:val="ListParagraph"/>
              <w:spacing w:after="0"/>
              <w:ind w:left="332"/>
              <w:rPr>
                <w:rFonts w:ascii="Arial" w:hAnsi="Arial" w:cs="Arial"/>
                <w:sz w:val="22"/>
                <w:szCs w:val="22"/>
              </w:rPr>
            </w:pPr>
          </w:p>
          <w:p w14:paraId="7F00C7CC" w14:textId="77777777" w:rsidR="007E4EC0" w:rsidRPr="00B57F7C" w:rsidRDefault="007E4EC0" w:rsidP="00ED39F9">
            <w:pPr>
              <w:spacing w:before="100"/>
              <w:rPr>
                <w:rFonts w:ascii="Arial" w:hAnsi="Arial" w:cs="Arial"/>
                <w:color w:val="005BBB"/>
                <w:sz w:val="26"/>
                <w:szCs w:val="26"/>
              </w:rPr>
            </w:pPr>
            <w:r>
              <w:rPr>
                <w:rFonts w:ascii="Arial" w:hAnsi="Arial" w:cs="Arial"/>
                <w:b/>
                <w:color w:val="005BBB"/>
                <w:sz w:val="26"/>
                <w:szCs w:val="26"/>
              </w:rPr>
              <w:t>AI</w:t>
            </w:r>
          </w:p>
          <w:p w14:paraId="5BFDE1F5" w14:textId="77777777" w:rsidR="007E4EC0" w:rsidRPr="009F607A" w:rsidRDefault="007E4EC0" w:rsidP="00ED39F9">
            <w:pPr>
              <w:rPr>
                <w:rFonts w:ascii="Arial" w:hAnsi="Arial" w:cs="Arial"/>
                <w:color w:val="111111"/>
                <w:shd w:val="clear" w:color="auto" w:fill="FFFFFF"/>
              </w:rPr>
            </w:pPr>
            <w:r w:rsidRPr="009F607A">
              <w:rPr>
                <w:rFonts w:ascii="Arial" w:hAnsi="Arial" w:cs="Arial"/>
                <w:color w:val="111111"/>
                <w:shd w:val="clear" w:color="auto" w:fill="FFFFFF"/>
              </w:rPr>
              <w:t>The AICPA and CPA Canada have issued two joint publications in the series of resources on Artificial Intelligence (AI).</w:t>
            </w:r>
          </w:p>
          <w:p w14:paraId="35D24FCB" w14:textId="77777777" w:rsidR="007E4EC0" w:rsidRPr="009F607A" w:rsidRDefault="007E4EC0" w:rsidP="00ED39F9">
            <w:pPr>
              <w:rPr>
                <w:rFonts w:ascii="Arial" w:hAnsi="Arial" w:cs="Arial"/>
                <w:color w:val="111111"/>
                <w:shd w:val="clear" w:color="auto" w:fill="FFFFFF"/>
              </w:rPr>
            </w:pPr>
            <w:r w:rsidRPr="009F607A">
              <w:rPr>
                <w:rFonts w:ascii="Arial" w:hAnsi="Arial" w:cs="Arial"/>
                <w:color w:val="111111"/>
                <w:shd w:val="clear" w:color="auto" w:fill="FFFFFF"/>
              </w:rPr>
              <w:t>The first in the series is a foundational resource for all CPAs,</w:t>
            </w:r>
            <w:r w:rsidRPr="009F607A">
              <w:rPr>
                <w:rFonts w:ascii="Arial" w:hAnsi="Arial" w:cs="Arial"/>
                <w:i/>
                <w:iCs/>
                <w:color w:val="111111"/>
              </w:rPr>
              <w:t xml:space="preserve"> </w:t>
            </w:r>
            <w:hyperlink r:id="rId50" w:tgtFrame="_blank" w:history="1">
              <w:r w:rsidRPr="009F607A">
                <w:rPr>
                  <w:rStyle w:val="Hyperlink"/>
                  <w:rFonts w:ascii="Arial" w:hAnsi="Arial" w:cs="Arial"/>
                  <w:i/>
                  <w:iCs/>
                  <w:color w:val="72246C"/>
                </w:rPr>
                <w:t>A CPA's Introduction to AI: From algorithms to deep learning, what you need to know</w:t>
              </w:r>
            </w:hyperlink>
            <w:r w:rsidRPr="009F607A">
              <w:rPr>
                <w:rFonts w:ascii="Arial" w:hAnsi="Arial" w:cs="Arial"/>
                <w:color w:val="111111"/>
                <w:shd w:val="clear" w:color="auto" w:fill="FFFFFF"/>
              </w:rPr>
              <w:t>. It explains the AI "buzzwords" and terms you have likely been hearing (for example, machine learning, deep learning, robotic process automation, computer vision, etc.), discusses the evolution of data, AI and computing power, and helps you to begin learning about AI and how it might affect your work.</w:t>
            </w:r>
          </w:p>
          <w:p w14:paraId="604BE5C7" w14:textId="77777777" w:rsidR="007E4EC0" w:rsidRPr="00CF01CB" w:rsidRDefault="007E4EC0" w:rsidP="00ED39F9">
            <w:pPr>
              <w:rPr>
                <w:rFonts w:ascii="Arial" w:hAnsi="Arial" w:cs="Arial"/>
              </w:rPr>
            </w:pPr>
            <w:r w:rsidRPr="009F607A">
              <w:rPr>
                <w:rFonts w:ascii="Arial" w:hAnsi="Arial" w:cs="Arial"/>
              </w:rPr>
              <w:t xml:space="preserve">The second in the series not only explores the benefits of an AI-enabled audit and how AI will evolve the audit and the role of the auditor but also considers the change in mindset required to meet the challenges and take advantage of the opportunities this evolution presents. Further, it provides a peek into the next </w:t>
            </w:r>
          </w:p>
        </w:tc>
        <w:tc>
          <w:tcPr>
            <w:tcW w:w="1540" w:type="pct"/>
            <w:gridSpan w:val="2"/>
            <w:tcMar>
              <w:left w:w="43" w:type="dxa"/>
              <w:right w:w="72" w:type="dxa"/>
            </w:tcMar>
          </w:tcPr>
          <w:p w14:paraId="5ABAE4A0" w14:textId="77777777" w:rsidR="007E4EC0" w:rsidRPr="00885699" w:rsidRDefault="007E4EC0" w:rsidP="00ED39F9">
            <w:pPr>
              <w:spacing w:after="0"/>
              <w:rPr>
                <w:rFonts w:ascii="Arial" w:hAnsi="Arial" w:cs="Arial"/>
                <w:sz w:val="10"/>
                <w:szCs w:val="10"/>
              </w:rPr>
            </w:pPr>
          </w:p>
          <w:p w14:paraId="4EE1A617" w14:textId="77777777" w:rsidR="007E4EC0" w:rsidRPr="009F607A" w:rsidRDefault="007E4EC0" w:rsidP="00ED39F9">
            <w:pPr>
              <w:spacing w:after="0"/>
              <w:rPr>
                <w:rFonts w:ascii="Arial" w:hAnsi="Arial" w:cs="Arial"/>
              </w:rPr>
            </w:pPr>
            <w:r w:rsidRPr="009F607A">
              <w:rPr>
                <w:rFonts w:ascii="Arial" w:hAnsi="Arial" w:cs="Arial"/>
              </w:rPr>
              <w:t>step on the digital journey</w:t>
            </w:r>
          </w:p>
          <w:p w14:paraId="41ADA3A3" w14:textId="77777777" w:rsidR="007E4EC0" w:rsidRPr="009F607A" w:rsidRDefault="007E4EC0" w:rsidP="00ED39F9">
            <w:pPr>
              <w:rPr>
                <w:rFonts w:ascii="Arial" w:hAnsi="Arial" w:cs="Arial"/>
              </w:rPr>
            </w:pPr>
            <w:r w:rsidRPr="009F607A">
              <w:rPr>
                <w:rFonts w:ascii="Arial" w:hAnsi="Arial" w:cs="Arial"/>
              </w:rPr>
              <w:t>beyond the current state of AI, as well as the assurance-related</w:t>
            </w:r>
            <w:r>
              <w:rPr>
                <w:rFonts w:ascii="Arial" w:hAnsi="Arial" w:cs="Arial"/>
              </w:rPr>
              <w:t xml:space="preserve"> </w:t>
            </w:r>
            <w:r w:rsidRPr="009F607A">
              <w:rPr>
                <w:rFonts w:ascii="Arial" w:hAnsi="Arial" w:cs="Arial"/>
              </w:rPr>
              <w:t>opportunities that will directly advancements.</w:t>
            </w:r>
          </w:p>
          <w:p w14:paraId="677FCCF3" w14:textId="550EADAF" w:rsidR="00BF665A" w:rsidRDefault="007E4EC0" w:rsidP="00ED39F9">
            <w:pPr>
              <w:rPr>
                <w:rFonts w:ascii="Arial" w:hAnsi="Arial" w:cs="Arial"/>
              </w:rPr>
            </w:pPr>
            <w:r w:rsidRPr="009F607A">
              <w:rPr>
                <w:rFonts w:ascii="Arial" w:hAnsi="Arial" w:cs="Arial"/>
              </w:rPr>
              <w:t xml:space="preserve">The topics are covered in sufficient detail to enable auditors to begin thinking of ways to use and derive the greatest benefits </w:t>
            </w:r>
            <w:r w:rsidRPr="00C87816">
              <w:rPr>
                <w:rFonts w:ascii="Arial" w:hAnsi="Arial" w:cs="Arial"/>
              </w:rPr>
              <w:t>from – and even embrace – AI</w:t>
            </w:r>
            <w:r w:rsidRPr="009F607A">
              <w:rPr>
                <w:rFonts w:ascii="Arial" w:hAnsi="Arial" w:cs="Arial"/>
              </w:rPr>
              <w:t xml:space="preserve">. In the process, this publication makes the case for why now is the time for auditors to </w:t>
            </w:r>
            <w:r>
              <w:rPr>
                <w:rFonts w:ascii="Arial" w:hAnsi="Arial" w:cs="Arial"/>
              </w:rPr>
              <w:t xml:space="preserve">do just </w:t>
            </w:r>
            <w:r w:rsidR="00BF665A">
              <w:rPr>
                <w:rFonts w:ascii="Arial" w:hAnsi="Arial" w:cs="Arial"/>
              </w:rPr>
              <w:t xml:space="preserve">that. </w:t>
            </w:r>
          </w:p>
          <w:p w14:paraId="3D6B718B" w14:textId="2F29F87A" w:rsidR="007E4EC0" w:rsidRDefault="00BF665A" w:rsidP="00ED39F9">
            <w:pPr>
              <w:rPr>
                <w:rFonts w:ascii="Arial" w:hAnsi="Arial" w:cs="Arial"/>
              </w:rPr>
            </w:pPr>
            <w:r w:rsidRPr="003674DC">
              <w:rPr>
                <w:rFonts w:ascii="Arial" w:hAnsi="Arial" w:cs="Arial"/>
                <w:noProof/>
                <w:color w:val="005BBB"/>
              </w:rPr>
              <mc:AlternateContent>
                <mc:Choice Requires="wps">
                  <w:drawing>
                    <wp:anchor distT="0" distB="0" distL="114300" distR="114300" simplePos="0" relativeHeight="251756544" behindDoc="0" locked="0" layoutInCell="1" allowOverlap="1" wp14:anchorId="5D6E0865" wp14:editId="50BE7AC1">
                      <wp:simplePos x="0" y="0"/>
                      <wp:positionH relativeFrom="column">
                        <wp:posOffset>381635</wp:posOffset>
                      </wp:positionH>
                      <wp:positionV relativeFrom="paragraph">
                        <wp:posOffset>232410</wp:posOffset>
                      </wp:positionV>
                      <wp:extent cx="57150" cy="57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57150" cy="57150"/>
                              </a:xfrm>
                              <a:prstGeom prst="rect">
                                <a:avLst/>
                              </a:prstGeom>
                              <a:solidFill>
                                <a:srgbClr val="005BBB"/>
                              </a:solidFill>
                              <a:ln>
                                <a:solidFill>
                                  <a:srgbClr val="005BB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730C1" id="Rectangle 5" o:spid="_x0000_s1026" style="position:absolute;margin-left:30.05pt;margin-top:18.3pt;width:4.5pt;height: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" fillcolor="#005bbb" strokecolor="#005bbb" strokeweight="1pt"/>
                  </w:pict>
                </mc:Fallback>
              </mc:AlternateContent>
            </w:r>
            <w:r>
              <w:rPr>
                <w:rFonts w:ascii="Arial" w:hAnsi="Arial" w:cs="Arial"/>
              </w:rPr>
              <w:t xml:space="preserve">For additional resources, click </w:t>
            </w:r>
            <w:hyperlink r:id="rId51" w:history="1">
              <w:r w:rsidRPr="00BF665A">
                <w:rPr>
                  <w:rStyle w:val="Hyperlink"/>
                  <w:rFonts w:ascii="Arial" w:hAnsi="Arial" w:cs="Arial"/>
                </w:rPr>
                <w:t>here</w:t>
              </w:r>
            </w:hyperlink>
            <w:r w:rsidR="007E4EC0" w:rsidRPr="009F607A">
              <w:rPr>
                <w:rFonts w:ascii="Arial" w:hAnsi="Arial" w:cs="Arial"/>
              </w:rPr>
              <w:t xml:space="preserve">. </w:t>
            </w:r>
          </w:p>
          <w:p w14:paraId="5DEFA65B" w14:textId="77777777" w:rsidR="007E4EC0" w:rsidRPr="009F607A" w:rsidRDefault="007E4EC0" w:rsidP="00ED39F9">
            <w:pPr>
              <w:rPr>
                <w:rFonts w:ascii="Arial" w:hAnsi="Arial" w:cs="Arial"/>
              </w:rPr>
            </w:pPr>
            <w:r w:rsidRPr="00E40730">
              <w:rPr>
                <w:rFonts w:ascii="Arial" w:hAnsi="Arial" w:cs="Arial"/>
                <w:noProof/>
              </w:rPr>
              <w:drawing>
                <wp:inline distT="0" distB="0" distL="0" distR="0" wp14:anchorId="2D2ACE1F" wp14:editId="26485FDE">
                  <wp:extent cx="2038350" cy="5229225"/>
                  <wp:effectExtent l="0" t="0" r="0" b="9525"/>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52">
                            <a:extLst>
                              <a:ext uri="{28A0092B-C50C-407E-A947-70E740481C1C}">
                                <a14:useLocalDpi xmlns:a14="http://schemas.microsoft.com/office/drawing/2010/main" val="0"/>
                              </a:ext>
                            </a:extLst>
                          </a:blip>
                          <a:srcRect r="19048"/>
                          <a:stretch/>
                        </pic:blipFill>
                        <pic:spPr bwMode="auto">
                          <a:xfrm>
                            <a:off x="0" y="0"/>
                            <a:ext cx="2038350" cy="522922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FEA62F6" w14:textId="53C7C5D3" w:rsidR="007E4EC0" w:rsidRDefault="007E4EC0" w:rsidP="00051AEE">
      <w:pPr>
        <w:pStyle w:val="Heading1"/>
        <w:spacing w:before="0" w:after="0"/>
        <w:rPr>
          <w:sz w:val="24"/>
          <w:szCs w:val="24"/>
        </w:rPr>
      </w:pPr>
    </w:p>
    <w:sectPr w:rsidR="007E4EC0" w:rsidSect="007E4EC0">
      <w:pgSz w:w="12240" w:h="15840" w:code="1"/>
      <w:pgMar w:top="720" w:right="720" w:bottom="720" w:left="72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D27F0" w14:textId="77777777" w:rsidR="00574441" w:rsidRDefault="00574441" w:rsidP="00C03D04">
      <w:r>
        <w:separator/>
      </w:r>
    </w:p>
  </w:endnote>
  <w:endnote w:type="continuationSeparator" w:id="0">
    <w:p w14:paraId="24B9A33C" w14:textId="77777777" w:rsidR="00574441" w:rsidRDefault="00574441" w:rsidP="00C0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917C1" w14:textId="77777777" w:rsidR="000E06A3" w:rsidRDefault="000E06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3DE4F" w14:textId="34E418F7" w:rsidR="00AB5A4F" w:rsidRPr="000B7C55" w:rsidRDefault="000B4FA9" w:rsidP="00AB5A4F">
    <w:pPr>
      <w:pStyle w:val="Footer"/>
      <w:jc w:val="right"/>
      <w:rPr>
        <w:rFonts w:ascii="Arial" w:hAnsi="Arial" w:cs="Arial"/>
        <w:color w:val="005BBB"/>
      </w:rPr>
    </w:pPr>
    <w:r w:rsidRPr="000B7C55">
      <w:rPr>
        <w:color w:val="005BBB"/>
      </w:rPr>
      <w:t xml:space="preserve">                                                             </w:t>
    </w:r>
    <w:r w:rsidR="00326537" w:rsidRPr="000B7C55">
      <w:rPr>
        <w:color w:val="005BBB"/>
      </w:rPr>
      <w:t xml:space="preserve">       </w:t>
    </w:r>
    <w:r w:rsidR="00AB5A4F" w:rsidRPr="000B7C55">
      <w:rPr>
        <w:color w:val="005BBB"/>
      </w:rPr>
      <w:tab/>
    </w:r>
    <w:r w:rsidR="00AB5A4F" w:rsidRPr="000B7C55">
      <w:rPr>
        <w:color w:val="005BBB"/>
      </w:rPr>
      <w:tab/>
    </w:r>
    <w:r w:rsidR="00486D70">
      <w:rPr>
        <w:rFonts w:ascii="Arial" w:hAnsi="Arial" w:cs="Arial"/>
        <w:color w:val="005BBB"/>
      </w:rPr>
      <w:t>Spring 2020</w:t>
    </w:r>
    <w:r w:rsidR="00AB5A4F" w:rsidRPr="000B7C55">
      <w:rPr>
        <w:rFonts w:ascii="Arial" w:hAnsi="Arial" w:cs="Arial"/>
        <w:color w:val="005BBB"/>
      </w:rPr>
      <w:t xml:space="preserve"> </w:t>
    </w:r>
    <w:r w:rsidR="00DB21F5" w:rsidRPr="000B7C55">
      <w:rPr>
        <w:rFonts w:ascii="Arial" w:hAnsi="Arial" w:cs="Arial"/>
        <w:color w:val="005BBB"/>
      </w:rPr>
      <w:t>E</w:t>
    </w:r>
    <w:r w:rsidR="00AB5A4F" w:rsidRPr="000B7C55">
      <w:rPr>
        <w:rFonts w:ascii="Arial" w:hAnsi="Arial" w:cs="Arial"/>
        <w:color w:val="005BBB"/>
      </w:rPr>
      <w:t>dition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ABAA4" w14:textId="77777777" w:rsidR="00AB5A4F" w:rsidRPr="00AB5A4F" w:rsidRDefault="00AB5A4F" w:rsidP="00AB5A4F">
    <w:pPr>
      <w:pStyle w:val="Footer"/>
      <w:jc w:val="right"/>
      <w:rPr>
        <w:color w:val="7030A0"/>
      </w:rPr>
    </w:pPr>
    <w:r w:rsidRPr="00AB5A4F">
      <w:rPr>
        <w:color w:val="7030A0"/>
      </w:rPr>
      <w:t>Fall 2019 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DEE13" w14:textId="77777777" w:rsidR="00574441" w:rsidRDefault="00574441" w:rsidP="00C03D04">
      <w:r>
        <w:separator/>
      </w:r>
    </w:p>
  </w:footnote>
  <w:footnote w:type="continuationSeparator" w:id="0">
    <w:p w14:paraId="05CA8818" w14:textId="77777777" w:rsidR="00574441" w:rsidRDefault="00574441" w:rsidP="00C03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31659" w14:textId="77777777" w:rsidR="000E06A3" w:rsidRDefault="000E06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2BAE2" w14:textId="1090C804" w:rsidR="00C53972" w:rsidRDefault="00C539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97B89" w14:textId="77777777" w:rsidR="000E06A3" w:rsidRDefault="000E06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33CD2"/>
    <w:multiLevelType w:val="hybridMultilevel"/>
    <w:tmpl w:val="E482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C7E85"/>
    <w:multiLevelType w:val="multilevel"/>
    <w:tmpl w:val="114AC90A"/>
    <w:lvl w:ilvl="0">
      <w:start w:val="1"/>
      <w:numFmt w:val="bullet"/>
      <w:lvlText w:val=""/>
      <w:lvlJc w:val="left"/>
      <w:pPr>
        <w:tabs>
          <w:tab w:val="num" w:pos="1488"/>
        </w:tabs>
        <w:ind w:left="1488" w:hanging="360"/>
      </w:pPr>
      <w:rPr>
        <w:rFonts w:ascii="Symbol" w:hAnsi="Symbol" w:hint="default"/>
        <w:sz w:val="20"/>
      </w:rPr>
    </w:lvl>
    <w:lvl w:ilvl="1">
      <w:start w:val="1"/>
      <w:numFmt w:val="bullet"/>
      <w:lvlText w:val="o"/>
      <w:lvlJc w:val="left"/>
      <w:pPr>
        <w:tabs>
          <w:tab w:val="num" w:pos="2208"/>
        </w:tabs>
        <w:ind w:left="2208" w:hanging="360"/>
      </w:pPr>
      <w:rPr>
        <w:rFonts w:ascii="Courier New" w:hAnsi="Courier New" w:cs="Times New Roman" w:hint="default"/>
        <w:sz w:val="20"/>
      </w:rPr>
    </w:lvl>
    <w:lvl w:ilvl="2">
      <w:start w:val="1"/>
      <w:numFmt w:val="bullet"/>
      <w:lvlText w:val=""/>
      <w:lvlJc w:val="left"/>
      <w:pPr>
        <w:tabs>
          <w:tab w:val="num" w:pos="2928"/>
        </w:tabs>
        <w:ind w:left="2928" w:hanging="360"/>
      </w:pPr>
      <w:rPr>
        <w:rFonts w:ascii="Wingdings" w:hAnsi="Wingdings" w:hint="default"/>
        <w:sz w:val="20"/>
      </w:rPr>
    </w:lvl>
    <w:lvl w:ilvl="3">
      <w:start w:val="1"/>
      <w:numFmt w:val="bullet"/>
      <w:lvlText w:val=""/>
      <w:lvlJc w:val="left"/>
      <w:pPr>
        <w:tabs>
          <w:tab w:val="num" w:pos="3648"/>
        </w:tabs>
        <w:ind w:left="3648" w:hanging="360"/>
      </w:pPr>
      <w:rPr>
        <w:rFonts w:ascii="Wingdings" w:hAnsi="Wingdings" w:hint="default"/>
        <w:sz w:val="20"/>
      </w:rPr>
    </w:lvl>
    <w:lvl w:ilvl="4">
      <w:start w:val="1"/>
      <w:numFmt w:val="bullet"/>
      <w:lvlText w:val=""/>
      <w:lvlJc w:val="left"/>
      <w:pPr>
        <w:tabs>
          <w:tab w:val="num" w:pos="4368"/>
        </w:tabs>
        <w:ind w:left="4368" w:hanging="360"/>
      </w:pPr>
      <w:rPr>
        <w:rFonts w:ascii="Wingdings" w:hAnsi="Wingdings" w:hint="default"/>
        <w:sz w:val="20"/>
      </w:rPr>
    </w:lvl>
    <w:lvl w:ilvl="5">
      <w:start w:val="1"/>
      <w:numFmt w:val="bullet"/>
      <w:lvlText w:val=""/>
      <w:lvlJc w:val="left"/>
      <w:pPr>
        <w:tabs>
          <w:tab w:val="num" w:pos="5088"/>
        </w:tabs>
        <w:ind w:left="5088" w:hanging="360"/>
      </w:pPr>
      <w:rPr>
        <w:rFonts w:ascii="Wingdings" w:hAnsi="Wingdings" w:hint="default"/>
        <w:sz w:val="20"/>
      </w:rPr>
    </w:lvl>
    <w:lvl w:ilvl="6">
      <w:start w:val="1"/>
      <w:numFmt w:val="bullet"/>
      <w:lvlText w:val=""/>
      <w:lvlJc w:val="left"/>
      <w:pPr>
        <w:tabs>
          <w:tab w:val="num" w:pos="5808"/>
        </w:tabs>
        <w:ind w:left="5808" w:hanging="360"/>
      </w:pPr>
      <w:rPr>
        <w:rFonts w:ascii="Wingdings" w:hAnsi="Wingdings" w:hint="default"/>
        <w:sz w:val="20"/>
      </w:rPr>
    </w:lvl>
    <w:lvl w:ilvl="7">
      <w:start w:val="1"/>
      <w:numFmt w:val="bullet"/>
      <w:lvlText w:val=""/>
      <w:lvlJc w:val="left"/>
      <w:pPr>
        <w:tabs>
          <w:tab w:val="num" w:pos="6528"/>
        </w:tabs>
        <w:ind w:left="6528" w:hanging="360"/>
      </w:pPr>
      <w:rPr>
        <w:rFonts w:ascii="Wingdings" w:hAnsi="Wingdings" w:hint="default"/>
        <w:sz w:val="20"/>
      </w:rPr>
    </w:lvl>
    <w:lvl w:ilvl="8">
      <w:start w:val="1"/>
      <w:numFmt w:val="bullet"/>
      <w:lvlText w:val=""/>
      <w:lvlJc w:val="left"/>
      <w:pPr>
        <w:tabs>
          <w:tab w:val="num" w:pos="7248"/>
        </w:tabs>
        <w:ind w:left="7248" w:hanging="360"/>
      </w:pPr>
      <w:rPr>
        <w:rFonts w:ascii="Wingdings" w:hAnsi="Wingdings" w:hint="default"/>
        <w:sz w:val="20"/>
      </w:rPr>
    </w:lvl>
  </w:abstractNum>
  <w:abstractNum w:abstractNumId="2" w15:restartNumberingAfterBreak="0">
    <w:nsid w:val="2AEE2BFD"/>
    <w:multiLevelType w:val="hybridMultilevel"/>
    <w:tmpl w:val="8828D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E75773"/>
    <w:multiLevelType w:val="hybridMultilevel"/>
    <w:tmpl w:val="466CF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6D6726D"/>
    <w:multiLevelType w:val="hybridMultilevel"/>
    <w:tmpl w:val="1EE6B3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15:restartNumberingAfterBreak="0">
    <w:nsid w:val="388B5FFA"/>
    <w:multiLevelType w:val="hybridMultilevel"/>
    <w:tmpl w:val="A6F48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AFC05DB"/>
    <w:multiLevelType w:val="hybridMultilevel"/>
    <w:tmpl w:val="8DEE6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56133D"/>
    <w:multiLevelType w:val="hybridMultilevel"/>
    <w:tmpl w:val="6B66B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4B2A63"/>
    <w:multiLevelType w:val="hybridMultilevel"/>
    <w:tmpl w:val="C4AE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28230D"/>
    <w:multiLevelType w:val="multilevel"/>
    <w:tmpl w:val="C5C22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B31341"/>
    <w:multiLevelType w:val="hybridMultilevel"/>
    <w:tmpl w:val="B29ED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8D80162"/>
    <w:multiLevelType w:val="hybridMultilevel"/>
    <w:tmpl w:val="542A3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DC7711"/>
    <w:multiLevelType w:val="hybridMultilevel"/>
    <w:tmpl w:val="1E2A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8"/>
  </w:num>
  <w:num w:numId="4">
    <w:abstractNumId w:val="6"/>
  </w:num>
  <w:num w:numId="5">
    <w:abstractNumId w:val="7"/>
  </w:num>
  <w:num w:numId="6">
    <w:abstractNumId w:val="12"/>
  </w:num>
  <w:num w:numId="7">
    <w:abstractNumId w:val="0"/>
  </w:num>
  <w:num w:numId="8">
    <w:abstractNumId w:val="6"/>
  </w:num>
  <w:num w:numId="9">
    <w:abstractNumId w:val="1"/>
  </w:num>
  <w:num w:numId="10">
    <w:abstractNumId w:val="5"/>
  </w:num>
  <w:num w:numId="11">
    <w:abstractNumId w:val="2"/>
  </w:num>
  <w:num w:numId="12">
    <w:abstractNumId w:val="10"/>
  </w:num>
  <w:num w:numId="13">
    <w:abstractNumId w:val="3"/>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embedSystemFonts/>
  <w:bordersDoNotSurroundHeader/>
  <w:bordersDoNotSurroundFooter/>
  <w:attachedTemplate r:id="rId1"/>
  <w:stylePaneSortMethod w:val="000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B29"/>
    <w:rsid w:val="000068B9"/>
    <w:rsid w:val="0001285C"/>
    <w:rsid w:val="000141E1"/>
    <w:rsid w:val="000266D5"/>
    <w:rsid w:val="00034F4B"/>
    <w:rsid w:val="00041E9D"/>
    <w:rsid w:val="00051AEE"/>
    <w:rsid w:val="0005661F"/>
    <w:rsid w:val="00060C17"/>
    <w:rsid w:val="000709BE"/>
    <w:rsid w:val="000729F4"/>
    <w:rsid w:val="000735A5"/>
    <w:rsid w:val="00076B79"/>
    <w:rsid w:val="00083B72"/>
    <w:rsid w:val="00086AE5"/>
    <w:rsid w:val="00087C14"/>
    <w:rsid w:val="00096C9D"/>
    <w:rsid w:val="000A3D8F"/>
    <w:rsid w:val="000B0CCE"/>
    <w:rsid w:val="000B4FA9"/>
    <w:rsid w:val="000B56D8"/>
    <w:rsid w:val="000B6650"/>
    <w:rsid w:val="000B7C55"/>
    <w:rsid w:val="000D3DB5"/>
    <w:rsid w:val="000D53AE"/>
    <w:rsid w:val="000E06A3"/>
    <w:rsid w:val="000F69D6"/>
    <w:rsid w:val="00130004"/>
    <w:rsid w:val="00132975"/>
    <w:rsid w:val="00141F71"/>
    <w:rsid w:val="00143140"/>
    <w:rsid w:val="00157235"/>
    <w:rsid w:val="00162A07"/>
    <w:rsid w:val="00162CC0"/>
    <w:rsid w:val="00175F1B"/>
    <w:rsid w:val="00176141"/>
    <w:rsid w:val="00184B50"/>
    <w:rsid w:val="001A5577"/>
    <w:rsid w:val="001A680D"/>
    <w:rsid w:val="001B6FD5"/>
    <w:rsid w:val="001B7C30"/>
    <w:rsid w:val="001D41D0"/>
    <w:rsid w:val="001D4C22"/>
    <w:rsid w:val="002118A9"/>
    <w:rsid w:val="00211952"/>
    <w:rsid w:val="0022312A"/>
    <w:rsid w:val="00226368"/>
    <w:rsid w:val="00237E07"/>
    <w:rsid w:val="0025049C"/>
    <w:rsid w:val="00251D7E"/>
    <w:rsid w:val="002606D8"/>
    <w:rsid w:val="00277C47"/>
    <w:rsid w:val="00284ACB"/>
    <w:rsid w:val="00290F3B"/>
    <w:rsid w:val="002B7E4D"/>
    <w:rsid w:val="002E1EC1"/>
    <w:rsid w:val="002E3D80"/>
    <w:rsid w:val="002E76DC"/>
    <w:rsid w:val="002F0367"/>
    <w:rsid w:val="002F7C44"/>
    <w:rsid w:val="00310CBF"/>
    <w:rsid w:val="0031514E"/>
    <w:rsid w:val="00322C99"/>
    <w:rsid w:val="00326537"/>
    <w:rsid w:val="00333719"/>
    <w:rsid w:val="0033720E"/>
    <w:rsid w:val="003448CE"/>
    <w:rsid w:val="00344EC8"/>
    <w:rsid w:val="003674DC"/>
    <w:rsid w:val="003715B3"/>
    <w:rsid w:val="003851FD"/>
    <w:rsid w:val="003B7448"/>
    <w:rsid w:val="003C1FEF"/>
    <w:rsid w:val="003D4204"/>
    <w:rsid w:val="003D53F8"/>
    <w:rsid w:val="003E00D2"/>
    <w:rsid w:val="003E08C2"/>
    <w:rsid w:val="003F2381"/>
    <w:rsid w:val="003F4B29"/>
    <w:rsid w:val="004018E1"/>
    <w:rsid w:val="00404E8E"/>
    <w:rsid w:val="00412227"/>
    <w:rsid w:val="00421884"/>
    <w:rsid w:val="004250B7"/>
    <w:rsid w:val="004333B8"/>
    <w:rsid w:val="00433FE7"/>
    <w:rsid w:val="00441EE4"/>
    <w:rsid w:val="00444777"/>
    <w:rsid w:val="00446E1D"/>
    <w:rsid w:val="004678BD"/>
    <w:rsid w:val="0047779F"/>
    <w:rsid w:val="00486D70"/>
    <w:rsid w:val="00490CE0"/>
    <w:rsid w:val="004925B4"/>
    <w:rsid w:val="00495AF2"/>
    <w:rsid w:val="004D0748"/>
    <w:rsid w:val="004E47F3"/>
    <w:rsid w:val="004F4552"/>
    <w:rsid w:val="004F663D"/>
    <w:rsid w:val="00526BF8"/>
    <w:rsid w:val="00531692"/>
    <w:rsid w:val="00533DA1"/>
    <w:rsid w:val="005529FF"/>
    <w:rsid w:val="00560801"/>
    <w:rsid w:val="00565993"/>
    <w:rsid w:val="00570BE7"/>
    <w:rsid w:val="00571D37"/>
    <w:rsid w:val="00571F64"/>
    <w:rsid w:val="00574441"/>
    <w:rsid w:val="005829BD"/>
    <w:rsid w:val="00582FE1"/>
    <w:rsid w:val="00587FD3"/>
    <w:rsid w:val="00594847"/>
    <w:rsid w:val="005A0AE4"/>
    <w:rsid w:val="005D42A9"/>
    <w:rsid w:val="005D5C04"/>
    <w:rsid w:val="005E0E12"/>
    <w:rsid w:val="005E2BD9"/>
    <w:rsid w:val="005F2B3B"/>
    <w:rsid w:val="00602E6B"/>
    <w:rsid w:val="00616EA8"/>
    <w:rsid w:val="006205EC"/>
    <w:rsid w:val="00637FD1"/>
    <w:rsid w:val="006500F6"/>
    <w:rsid w:val="00651003"/>
    <w:rsid w:val="00655C5F"/>
    <w:rsid w:val="006563D7"/>
    <w:rsid w:val="00656D41"/>
    <w:rsid w:val="0067011E"/>
    <w:rsid w:val="0067171C"/>
    <w:rsid w:val="00692BAF"/>
    <w:rsid w:val="0069357F"/>
    <w:rsid w:val="00693CF4"/>
    <w:rsid w:val="006B317F"/>
    <w:rsid w:val="006B50BF"/>
    <w:rsid w:val="006C705E"/>
    <w:rsid w:val="006F0B99"/>
    <w:rsid w:val="0073417D"/>
    <w:rsid w:val="0074168B"/>
    <w:rsid w:val="007509A9"/>
    <w:rsid w:val="00760449"/>
    <w:rsid w:val="00762376"/>
    <w:rsid w:val="00762796"/>
    <w:rsid w:val="00767BF2"/>
    <w:rsid w:val="00776105"/>
    <w:rsid w:val="0077613F"/>
    <w:rsid w:val="00776379"/>
    <w:rsid w:val="0078764A"/>
    <w:rsid w:val="007A1467"/>
    <w:rsid w:val="007B091E"/>
    <w:rsid w:val="007B1B50"/>
    <w:rsid w:val="007C0018"/>
    <w:rsid w:val="007C21AE"/>
    <w:rsid w:val="007C3870"/>
    <w:rsid w:val="007E07A0"/>
    <w:rsid w:val="007E4EC0"/>
    <w:rsid w:val="007E7714"/>
    <w:rsid w:val="007F46FE"/>
    <w:rsid w:val="008027D0"/>
    <w:rsid w:val="0080507F"/>
    <w:rsid w:val="00814F60"/>
    <w:rsid w:val="0083353A"/>
    <w:rsid w:val="00837999"/>
    <w:rsid w:val="00842D33"/>
    <w:rsid w:val="00844B11"/>
    <w:rsid w:val="00847CB0"/>
    <w:rsid w:val="008665EC"/>
    <w:rsid w:val="0086671D"/>
    <w:rsid w:val="008747E6"/>
    <w:rsid w:val="00882C4F"/>
    <w:rsid w:val="0088567F"/>
    <w:rsid w:val="00885699"/>
    <w:rsid w:val="008874FF"/>
    <w:rsid w:val="00896CC8"/>
    <w:rsid w:val="008A1ABD"/>
    <w:rsid w:val="008A49D6"/>
    <w:rsid w:val="008A7A52"/>
    <w:rsid w:val="008B4D06"/>
    <w:rsid w:val="008C24B3"/>
    <w:rsid w:val="008C7B39"/>
    <w:rsid w:val="008D14C1"/>
    <w:rsid w:val="008D42B1"/>
    <w:rsid w:val="008D6EEE"/>
    <w:rsid w:val="008E0A42"/>
    <w:rsid w:val="008E10E7"/>
    <w:rsid w:val="008E68D1"/>
    <w:rsid w:val="008E7883"/>
    <w:rsid w:val="008F1009"/>
    <w:rsid w:val="008F6E1A"/>
    <w:rsid w:val="00903BD8"/>
    <w:rsid w:val="009052F9"/>
    <w:rsid w:val="00912750"/>
    <w:rsid w:val="009143F0"/>
    <w:rsid w:val="0091621A"/>
    <w:rsid w:val="00934CCE"/>
    <w:rsid w:val="00943E09"/>
    <w:rsid w:val="0094526C"/>
    <w:rsid w:val="00962301"/>
    <w:rsid w:val="00963419"/>
    <w:rsid w:val="00975383"/>
    <w:rsid w:val="0097566F"/>
    <w:rsid w:val="00982C63"/>
    <w:rsid w:val="009914E3"/>
    <w:rsid w:val="00993DB2"/>
    <w:rsid w:val="00994153"/>
    <w:rsid w:val="009A10EC"/>
    <w:rsid w:val="009A504D"/>
    <w:rsid w:val="009A5818"/>
    <w:rsid w:val="009A6A31"/>
    <w:rsid w:val="009B325A"/>
    <w:rsid w:val="009B4D58"/>
    <w:rsid w:val="009C3909"/>
    <w:rsid w:val="009C4EDE"/>
    <w:rsid w:val="009C4F3A"/>
    <w:rsid w:val="009E0122"/>
    <w:rsid w:val="009F11E3"/>
    <w:rsid w:val="009F607A"/>
    <w:rsid w:val="00A02EA9"/>
    <w:rsid w:val="00A10FEC"/>
    <w:rsid w:val="00A1143D"/>
    <w:rsid w:val="00A11F83"/>
    <w:rsid w:val="00A162BC"/>
    <w:rsid w:val="00A27C7E"/>
    <w:rsid w:val="00A32355"/>
    <w:rsid w:val="00A45363"/>
    <w:rsid w:val="00A6047E"/>
    <w:rsid w:val="00A61B29"/>
    <w:rsid w:val="00A74A4A"/>
    <w:rsid w:val="00A84A06"/>
    <w:rsid w:val="00A93F9E"/>
    <w:rsid w:val="00A97706"/>
    <w:rsid w:val="00AA1324"/>
    <w:rsid w:val="00AA297E"/>
    <w:rsid w:val="00AB5A4F"/>
    <w:rsid w:val="00AC26D7"/>
    <w:rsid w:val="00AC4ABB"/>
    <w:rsid w:val="00AD0E8E"/>
    <w:rsid w:val="00AD59D8"/>
    <w:rsid w:val="00AE39A8"/>
    <w:rsid w:val="00B004AA"/>
    <w:rsid w:val="00B010A5"/>
    <w:rsid w:val="00B03852"/>
    <w:rsid w:val="00B04230"/>
    <w:rsid w:val="00B0721A"/>
    <w:rsid w:val="00B23553"/>
    <w:rsid w:val="00B30DC4"/>
    <w:rsid w:val="00B47460"/>
    <w:rsid w:val="00B57F7C"/>
    <w:rsid w:val="00B679F9"/>
    <w:rsid w:val="00B67ECF"/>
    <w:rsid w:val="00B70EC0"/>
    <w:rsid w:val="00B7159B"/>
    <w:rsid w:val="00B93762"/>
    <w:rsid w:val="00BD13D2"/>
    <w:rsid w:val="00BD3882"/>
    <w:rsid w:val="00BE3DBB"/>
    <w:rsid w:val="00BF665A"/>
    <w:rsid w:val="00C03D04"/>
    <w:rsid w:val="00C05148"/>
    <w:rsid w:val="00C22C56"/>
    <w:rsid w:val="00C2438C"/>
    <w:rsid w:val="00C32EB6"/>
    <w:rsid w:val="00C37E0F"/>
    <w:rsid w:val="00C503F2"/>
    <w:rsid w:val="00C515C5"/>
    <w:rsid w:val="00C53972"/>
    <w:rsid w:val="00C56900"/>
    <w:rsid w:val="00C87816"/>
    <w:rsid w:val="00CA2C14"/>
    <w:rsid w:val="00CA5327"/>
    <w:rsid w:val="00CD7720"/>
    <w:rsid w:val="00CE7C44"/>
    <w:rsid w:val="00CF01CB"/>
    <w:rsid w:val="00D019E2"/>
    <w:rsid w:val="00D06B69"/>
    <w:rsid w:val="00D2071C"/>
    <w:rsid w:val="00D263B9"/>
    <w:rsid w:val="00D40D74"/>
    <w:rsid w:val="00D471F4"/>
    <w:rsid w:val="00D636D7"/>
    <w:rsid w:val="00D658E0"/>
    <w:rsid w:val="00D70553"/>
    <w:rsid w:val="00D87CE9"/>
    <w:rsid w:val="00D90E70"/>
    <w:rsid w:val="00D928C1"/>
    <w:rsid w:val="00DA2659"/>
    <w:rsid w:val="00DA41FD"/>
    <w:rsid w:val="00DA58CF"/>
    <w:rsid w:val="00DB21F5"/>
    <w:rsid w:val="00DC5C6E"/>
    <w:rsid w:val="00DD7BB5"/>
    <w:rsid w:val="00DE5D33"/>
    <w:rsid w:val="00DF0D6C"/>
    <w:rsid w:val="00E01082"/>
    <w:rsid w:val="00E02DAF"/>
    <w:rsid w:val="00E05479"/>
    <w:rsid w:val="00E07FA4"/>
    <w:rsid w:val="00E4387F"/>
    <w:rsid w:val="00E43C61"/>
    <w:rsid w:val="00E55A80"/>
    <w:rsid w:val="00E55FEC"/>
    <w:rsid w:val="00E9728B"/>
    <w:rsid w:val="00EA60CF"/>
    <w:rsid w:val="00ED103E"/>
    <w:rsid w:val="00ED53BC"/>
    <w:rsid w:val="00ED5833"/>
    <w:rsid w:val="00ED5B0D"/>
    <w:rsid w:val="00EE7750"/>
    <w:rsid w:val="00EF65B4"/>
    <w:rsid w:val="00F02DAD"/>
    <w:rsid w:val="00F055C4"/>
    <w:rsid w:val="00F1614F"/>
    <w:rsid w:val="00F252C7"/>
    <w:rsid w:val="00F42253"/>
    <w:rsid w:val="00F46B32"/>
    <w:rsid w:val="00F5172D"/>
    <w:rsid w:val="00F75808"/>
    <w:rsid w:val="00F80C57"/>
    <w:rsid w:val="00F921A1"/>
    <w:rsid w:val="00FA5DDD"/>
    <w:rsid w:val="00FD5F54"/>
    <w:rsid w:val="00FE1B6A"/>
    <w:rsid w:val="00FE786A"/>
    <w:rsid w:val="00FF4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6B9FDE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A1467"/>
    <w:pPr>
      <w:widowControl w:val="0"/>
      <w:autoSpaceDE w:val="0"/>
      <w:autoSpaceDN w:val="0"/>
      <w:adjustRightInd w:val="0"/>
      <w:spacing w:after="200"/>
    </w:pPr>
    <w:rPr>
      <w:rFonts w:cs="Georgia"/>
    </w:rPr>
  </w:style>
  <w:style w:type="paragraph" w:styleId="Heading1">
    <w:name w:val="heading 1"/>
    <w:basedOn w:val="Normal"/>
    <w:next w:val="Normal"/>
    <w:link w:val="Heading1Char"/>
    <w:uiPriority w:val="1"/>
    <w:qFormat/>
    <w:rsid w:val="00844B11"/>
    <w:pPr>
      <w:kinsoku w:val="0"/>
      <w:overflowPunct w:val="0"/>
      <w:spacing w:before="120" w:after="120"/>
      <w:outlineLvl w:val="0"/>
    </w:pPr>
    <w:rPr>
      <w:rFonts w:asciiTheme="majorHAnsi" w:hAnsiTheme="majorHAnsi" w:cs="Lucida Grande"/>
      <w:b/>
      <w:bCs/>
      <w:caps/>
      <w:color w:val="1B74BC" w:themeColor="accent1"/>
      <w:sz w:val="56"/>
      <w:szCs w:val="48"/>
    </w:rPr>
  </w:style>
  <w:style w:type="paragraph" w:styleId="Heading2">
    <w:name w:val="heading 2"/>
    <w:basedOn w:val="Normal"/>
    <w:next w:val="Normal"/>
    <w:link w:val="Heading2Char"/>
    <w:uiPriority w:val="1"/>
    <w:semiHidden/>
    <w:qFormat/>
    <w:rsid w:val="007C0018"/>
    <w:pPr>
      <w:spacing w:before="120" w:after="120"/>
      <w:outlineLvl w:val="1"/>
    </w:pPr>
    <w:rPr>
      <w:i/>
      <w:color w:val="009DD9" w:themeColor="accent2"/>
      <w:sz w:val="36"/>
      <w:szCs w:val="36"/>
    </w:rPr>
  </w:style>
  <w:style w:type="paragraph" w:styleId="Heading3">
    <w:name w:val="heading 3"/>
    <w:basedOn w:val="Normal"/>
    <w:next w:val="Normal"/>
    <w:link w:val="Heading3Char"/>
    <w:uiPriority w:val="9"/>
    <w:semiHidden/>
    <w:qFormat/>
    <w:rsid w:val="00421884"/>
    <w:pPr>
      <w:keepNext/>
      <w:keepLines/>
      <w:spacing w:before="40" w:after="0"/>
      <w:outlineLvl w:val="2"/>
    </w:pPr>
    <w:rPr>
      <w:rFonts w:asciiTheme="majorHAnsi" w:eastAsiaTheme="majorEastAsia" w:hAnsiTheme="majorHAnsi" w:cstheme="majorBidi"/>
      <w:color w:val="0D395D"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rsid w:val="00B70EC0"/>
    <w:pPr>
      <w:kinsoku w:val="0"/>
      <w:overflowPunct w:val="0"/>
      <w:spacing w:before="93" w:line="249" w:lineRule="auto"/>
      <w:ind w:left="313" w:right="62"/>
    </w:pPr>
    <w:rPr>
      <w:spacing w:val="-8"/>
      <w:sz w:val="24"/>
      <w:szCs w:val="24"/>
    </w:rPr>
  </w:style>
  <w:style w:type="character" w:customStyle="1" w:styleId="BodyTextChar">
    <w:name w:val="Body Text Char"/>
    <w:basedOn w:val="DefaultParagraphFont"/>
    <w:link w:val="BodyText"/>
    <w:uiPriority w:val="1"/>
    <w:semiHidden/>
    <w:rsid w:val="00034F4B"/>
    <w:rPr>
      <w:rFonts w:ascii="Arial" w:hAnsi="Arial" w:cs="Arial"/>
      <w:spacing w:val="-8"/>
      <w:sz w:val="24"/>
      <w:szCs w:val="24"/>
    </w:rPr>
  </w:style>
  <w:style w:type="character" w:customStyle="1" w:styleId="Heading1Char">
    <w:name w:val="Heading 1 Char"/>
    <w:basedOn w:val="DefaultParagraphFont"/>
    <w:link w:val="Heading1"/>
    <w:uiPriority w:val="1"/>
    <w:rsid w:val="00844B11"/>
    <w:rPr>
      <w:rFonts w:asciiTheme="majorHAnsi" w:hAnsiTheme="majorHAnsi" w:cs="Lucida Grande"/>
      <w:b/>
      <w:bCs/>
      <w:caps/>
      <w:color w:val="1B74BC" w:themeColor="accent1"/>
      <w:sz w:val="56"/>
      <w:szCs w:val="48"/>
    </w:rPr>
  </w:style>
  <w:style w:type="character" w:customStyle="1" w:styleId="Heading2Char">
    <w:name w:val="Heading 2 Char"/>
    <w:basedOn w:val="DefaultParagraphFont"/>
    <w:link w:val="Heading2"/>
    <w:uiPriority w:val="1"/>
    <w:semiHidden/>
    <w:rsid w:val="007A1467"/>
    <w:rPr>
      <w:rFonts w:cs="Georgia"/>
      <w:i/>
      <w:color w:val="009DD9" w:themeColor="accent2"/>
      <w:sz w:val="36"/>
      <w:szCs w:val="36"/>
    </w:rPr>
  </w:style>
  <w:style w:type="paragraph" w:styleId="ListParagraph">
    <w:name w:val="List Paragraph"/>
    <w:basedOn w:val="Normal"/>
    <w:uiPriority w:val="34"/>
    <w:qFormat/>
    <w:rPr>
      <w:rFonts w:ascii="Times New Roman" w:hAnsi="Times New Roman"/>
      <w:sz w:val="24"/>
      <w:szCs w:val="24"/>
    </w:rPr>
  </w:style>
  <w:style w:type="character" w:customStyle="1" w:styleId="UnresolvedMention1">
    <w:name w:val="Unresolved Mention1"/>
    <w:basedOn w:val="DefaultParagraphFont"/>
    <w:uiPriority w:val="99"/>
    <w:semiHidden/>
    <w:rsid w:val="00034F4B"/>
    <w:rPr>
      <w:color w:val="808080"/>
      <w:shd w:val="clear" w:color="auto" w:fill="E6E6E6"/>
    </w:rPr>
  </w:style>
  <w:style w:type="paragraph" w:styleId="Title">
    <w:name w:val="Title"/>
    <w:basedOn w:val="Normal"/>
    <w:next w:val="Normal"/>
    <w:link w:val="TitleChar"/>
    <w:uiPriority w:val="10"/>
    <w:qFormat/>
    <w:rsid w:val="00616EA8"/>
    <w:pPr>
      <w:spacing w:before="120" w:after="120" w:line="192" w:lineRule="auto"/>
    </w:pPr>
    <w:rPr>
      <w:rFonts w:ascii="Calibri Light" w:hAnsi="Calibri Light"/>
      <w:b/>
      <w:bCs/>
      <w:color w:val="FFFFFF"/>
      <w:spacing w:val="-10"/>
      <w:kern w:val="28"/>
      <w:sz w:val="72"/>
      <w:szCs w:val="56"/>
    </w:rPr>
  </w:style>
  <w:style w:type="character" w:customStyle="1" w:styleId="TitleChar">
    <w:name w:val="Title Char"/>
    <w:basedOn w:val="DefaultParagraphFont"/>
    <w:link w:val="Title"/>
    <w:uiPriority w:val="10"/>
    <w:rsid w:val="00616EA8"/>
    <w:rPr>
      <w:rFonts w:ascii="Calibri Light" w:hAnsi="Calibri Light"/>
      <w:b/>
      <w:bCs/>
      <w:color w:val="FFFFFF"/>
      <w:spacing w:val="-10"/>
      <w:kern w:val="28"/>
      <w:sz w:val="72"/>
      <w:szCs w:val="56"/>
    </w:rPr>
  </w:style>
  <w:style w:type="paragraph" w:styleId="Subtitle">
    <w:name w:val="Subtitle"/>
    <w:basedOn w:val="Normal"/>
    <w:next w:val="Normal"/>
    <w:link w:val="SubtitleChar"/>
    <w:uiPriority w:val="11"/>
    <w:semiHidden/>
    <w:qFormat/>
    <w:rsid w:val="00BD13D2"/>
    <w:pPr>
      <w:spacing w:before="120" w:after="120"/>
      <w:jc w:val="center"/>
    </w:pPr>
    <w:rPr>
      <w:b/>
      <w:color w:val="FFFFFF" w:themeColor="background1"/>
      <w:sz w:val="36"/>
      <w:szCs w:val="36"/>
    </w:rPr>
  </w:style>
  <w:style w:type="character" w:customStyle="1" w:styleId="SubtitleChar">
    <w:name w:val="Subtitle Char"/>
    <w:basedOn w:val="DefaultParagraphFont"/>
    <w:link w:val="Subtitle"/>
    <w:uiPriority w:val="11"/>
    <w:semiHidden/>
    <w:rsid w:val="007A1467"/>
    <w:rPr>
      <w:rFonts w:cs="Georgia"/>
      <w:b/>
      <w:color w:val="FFFFFF" w:themeColor="background1"/>
      <w:sz w:val="36"/>
      <w:szCs w:val="36"/>
    </w:rPr>
  </w:style>
  <w:style w:type="paragraph" w:styleId="Quote">
    <w:name w:val="Quote"/>
    <w:basedOn w:val="BodyText"/>
    <w:next w:val="Normal"/>
    <w:link w:val="QuoteChar"/>
    <w:uiPriority w:val="29"/>
    <w:qFormat/>
    <w:rsid w:val="00E55A80"/>
    <w:pPr>
      <w:shd w:val="clear" w:color="auto" w:fill="595959" w:themeFill="text1" w:themeFillTint="A6"/>
      <w:spacing w:before="0" w:after="0" w:line="240" w:lineRule="auto"/>
      <w:ind w:left="113"/>
      <w:jc w:val="center"/>
    </w:pPr>
    <w:rPr>
      <w:rFonts w:ascii="Constantia" w:hAnsi="Constantia"/>
      <w:b/>
      <w:i/>
      <w:color w:val="FFFFFF"/>
      <w:szCs w:val="28"/>
    </w:rPr>
  </w:style>
  <w:style w:type="character" w:customStyle="1" w:styleId="QuoteChar">
    <w:name w:val="Quote Char"/>
    <w:basedOn w:val="DefaultParagraphFont"/>
    <w:link w:val="Quote"/>
    <w:uiPriority w:val="29"/>
    <w:rsid w:val="00E55A80"/>
    <w:rPr>
      <w:rFonts w:ascii="Constantia" w:hAnsi="Constantia" w:cs="Georgia"/>
      <w:b/>
      <w:i/>
      <w:color w:val="FFFFFF"/>
      <w:spacing w:val="-8"/>
      <w:sz w:val="24"/>
      <w:szCs w:val="28"/>
      <w:shd w:val="clear" w:color="auto" w:fill="595959" w:themeFill="text1" w:themeFillTint="A6"/>
    </w:rPr>
  </w:style>
  <w:style w:type="paragraph" w:styleId="Header">
    <w:name w:val="header"/>
    <w:basedOn w:val="Normal"/>
    <w:link w:val="HeaderChar"/>
    <w:uiPriority w:val="99"/>
    <w:semiHidden/>
    <w:rsid w:val="00F921A1"/>
    <w:pPr>
      <w:tabs>
        <w:tab w:val="center" w:pos="4680"/>
        <w:tab w:val="right" w:pos="9360"/>
      </w:tabs>
      <w:spacing w:after="0"/>
    </w:pPr>
  </w:style>
  <w:style w:type="character" w:styleId="BookTitle">
    <w:name w:val="Book Title"/>
    <w:basedOn w:val="DefaultParagraphFont"/>
    <w:uiPriority w:val="33"/>
    <w:semiHidden/>
    <w:rsid w:val="00034F4B"/>
    <w:rPr>
      <w:b/>
      <w:bCs/>
      <w:i/>
      <w:iCs/>
      <w:spacing w:val="5"/>
    </w:rPr>
  </w:style>
  <w:style w:type="character" w:styleId="Emphasis">
    <w:name w:val="Emphasis"/>
    <w:basedOn w:val="DefaultParagraphFont"/>
    <w:uiPriority w:val="20"/>
    <w:qFormat/>
    <w:rsid w:val="00034F4B"/>
    <w:rPr>
      <w:i/>
      <w:iCs/>
    </w:rPr>
  </w:style>
  <w:style w:type="character" w:customStyle="1" w:styleId="Hashtag1">
    <w:name w:val="Hashtag1"/>
    <w:basedOn w:val="DefaultParagraphFont"/>
    <w:uiPriority w:val="99"/>
    <w:semiHidden/>
    <w:rsid w:val="00034F4B"/>
    <w:rPr>
      <w:color w:val="2B579A"/>
      <w:shd w:val="clear" w:color="auto" w:fill="E6E6E6"/>
    </w:rPr>
  </w:style>
  <w:style w:type="character" w:styleId="IntenseEmphasis">
    <w:name w:val="Intense Emphasis"/>
    <w:basedOn w:val="DefaultParagraphFont"/>
    <w:uiPriority w:val="21"/>
    <w:semiHidden/>
    <w:rsid w:val="00034F4B"/>
    <w:rPr>
      <w:i/>
      <w:iCs/>
      <w:color w:val="1B74BC" w:themeColor="accent1"/>
    </w:rPr>
  </w:style>
  <w:style w:type="paragraph" w:styleId="IntenseQuote">
    <w:name w:val="Intense Quote"/>
    <w:basedOn w:val="Normal"/>
    <w:next w:val="Normal"/>
    <w:link w:val="IntenseQuoteChar"/>
    <w:uiPriority w:val="30"/>
    <w:semiHidden/>
    <w:rsid w:val="00034F4B"/>
    <w:pPr>
      <w:pBdr>
        <w:top w:val="single" w:sz="4" w:space="10" w:color="1B74BC" w:themeColor="accent1"/>
        <w:bottom w:val="single" w:sz="4" w:space="10" w:color="1B74BC" w:themeColor="accent1"/>
      </w:pBdr>
      <w:spacing w:before="360" w:after="360"/>
      <w:ind w:left="864" w:right="864"/>
      <w:jc w:val="center"/>
    </w:pPr>
    <w:rPr>
      <w:i/>
      <w:iCs/>
      <w:color w:val="1B74BC" w:themeColor="accent1"/>
    </w:rPr>
  </w:style>
  <w:style w:type="character" w:customStyle="1" w:styleId="IntenseQuoteChar">
    <w:name w:val="Intense Quote Char"/>
    <w:basedOn w:val="DefaultParagraphFont"/>
    <w:link w:val="IntenseQuote"/>
    <w:uiPriority w:val="30"/>
    <w:semiHidden/>
    <w:rsid w:val="00034F4B"/>
    <w:rPr>
      <w:rFonts w:ascii="Arial" w:hAnsi="Arial" w:cs="Arial"/>
      <w:i/>
      <w:iCs/>
      <w:color w:val="1B74BC" w:themeColor="accent1"/>
      <w:sz w:val="22"/>
      <w:szCs w:val="22"/>
    </w:rPr>
  </w:style>
  <w:style w:type="character" w:styleId="IntenseReference">
    <w:name w:val="Intense Reference"/>
    <w:basedOn w:val="DefaultParagraphFont"/>
    <w:uiPriority w:val="32"/>
    <w:semiHidden/>
    <w:rsid w:val="00034F4B"/>
    <w:rPr>
      <w:b/>
      <w:bCs/>
      <w:smallCaps/>
      <w:color w:val="1B74BC" w:themeColor="accent1"/>
      <w:spacing w:val="5"/>
    </w:rPr>
  </w:style>
  <w:style w:type="character" w:styleId="Strong">
    <w:name w:val="Strong"/>
    <w:basedOn w:val="DefaultParagraphFont"/>
    <w:uiPriority w:val="22"/>
    <w:semiHidden/>
    <w:rsid w:val="00034F4B"/>
    <w:rPr>
      <w:b/>
      <w:bCs/>
    </w:rPr>
  </w:style>
  <w:style w:type="character" w:styleId="SubtleEmphasis">
    <w:name w:val="Subtle Emphasis"/>
    <w:basedOn w:val="DefaultParagraphFont"/>
    <w:uiPriority w:val="19"/>
    <w:semiHidden/>
    <w:rsid w:val="00034F4B"/>
    <w:rPr>
      <w:i/>
      <w:iCs/>
      <w:color w:val="404040" w:themeColor="text1" w:themeTint="BF"/>
    </w:rPr>
  </w:style>
  <w:style w:type="character" w:styleId="SubtleReference">
    <w:name w:val="Subtle Reference"/>
    <w:basedOn w:val="DefaultParagraphFont"/>
    <w:uiPriority w:val="31"/>
    <w:semiHidden/>
    <w:rsid w:val="00034F4B"/>
    <w:rPr>
      <w:smallCaps/>
      <w:color w:val="5A5A5A" w:themeColor="text1" w:themeTint="A5"/>
    </w:rPr>
  </w:style>
  <w:style w:type="character" w:customStyle="1" w:styleId="HeaderChar">
    <w:name w:val="Header Char"/>
    <w:basedOn w:val="DefaultParagraphFont"/>
    <w:link w:val="Header"/>
    <w:uiPriority w:val="99"/>
    <w:semiHidden/>
    <w:rsid w:val="007C0018"/>
  </w:style>
  <w:style w:type="paragraph" w:styleId="Footer">
    <w:name w:val="footer"/>
    <w:basedOn w:val="Normal"/>
    <w:link w:val="FooterChar"/>
    <w:uiPriority w:val="99"/>
    <w:rsid w:val="00F921A1"/>
    <w:pPr>
      <w:tabs>
        <w:tab w:val="center" w:pos="4680"/>
        <w:tab w:val="right" w:pos="9360"/>
      </w:tabs>
      <w:spacing w:after="0"/>
    </w:pPr>
  </w:style>
  <w:style w:type="character" w:customStyle="1" w:styleId="FooterChar">
    <w:name w:val="Footer Char"/>
    <w:basedOn w:val="DefaultParagraphFont"/>
    <w:link w:val="Footer"/>
    <w:uiPriority w:val="99"/>
    <w:rsid w:val="007C0018"/>
  </w:style>
  <w:style w:type="table" w:styleId="TableGrid">
    <w:name w:val="Table Grid"/>
    <w:basedOn w:val="TableNormal"/>
    <w:uiPriority w:val="39"/>
    <w:rsid w:val="000D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ithDarkBackground">
    <w:name w:val="Normal with Dark Background"/>
    <w:basedOn w:val="Normal"/>
    <w:uiPriority w:val="1"/>
    <w:semiHidden/>
    <w:qFormat/>
    <w:rsid w:val="006563D7"/>
    <w:rPr>
      <w:color w:val="FFFFFF" w:themeColor="background1"/>
    </w:rPr>
  </w:style>
  <w:style w:type="paragraph" w:customStyle="1" w:styleId="Heading1Alt">
    <w:name w:val="Heading 1 Alt"/>
    <w:basedOn w:val="Normal"/>
    <w:uiPriority w:val="1"/>
    <w:qFormat/>
    <w:rsid w:val="00616EA8"/>
    <w:pPr>
      <w:spacing w:before="120" w:line="180" w:lineRule="auto"/>
    </w:pPr>
    <w:rPr>
      <w:rFonts w:ascii="Calibri Light" w:hAnsi="Calibri Light"/>
      <w:b/>
      <w:caps/>
      <w:color w:val="001F5F"/>
      <w:sz w:val="56"/>
    </w:rPr>
  </w:style>
  <w:style w:type="paragraph" w:customStyle="1" w:styleId="Heading2Alt">
    <w:name w:val="Heading 2 Alt"/>
    <w:basedOn w:val="Normal"/>
    <w:uiPriority w:val="1"/>
    <w:semiHidden/>
    <w:qFormat/>
    <w:rsid w:val="006563D7"/>
    <w:pPr>
      <w:spacing w:before="120"/>
    </w:pPr>
    <w:rPr>
      <w:i/>
      <w:color w:val="FFFFFF" w:themeColor="background1"/>
      <w:sz w:val="36"/>
    </w:rPr>
  </w:style>
  <w:style w:type="paragraph" w:styleId="NoSpacing">
    <w:name w:val="No Spacing"/>
    <w:uiPriority w:val="1"/>
    <w:semiHidden/>
    <w:qFormat/>
    <w:rsid w:val="006563D7"/>
    <w:pPr>
      <w:spacing w:after="0"/>
    </w:pPr>
    <w:rPr>
      <w:sz w:val="24"/>
    </w:rPr>
  </w:style>
  <w:style w:type="character" w:styleId="PlaceholderText">
    <w:name w:val="Placeholder Text"/>
    <w:basedOn w:val="DefaultParagraphFont"/>
    <w:uiPriority w:val="99"/>
    <w:semiHidden/>
    <w:rsid w:val="009052F9"/>
    <w:rPr>
      <w:color w:val="808080"/>
    </w:rPr>
  </w:style>
  <w:style w:type="paragraph" w:styleId="Date">
    <w:name w:val="Date"/>
    <w:basedOn w:val="Normal"/>
    <w:next w:val="Normal"/>
    <w:link w:val="DateChar"/>
    <w:uiPriority w:val="99"/>
    <w:rsid w:val="00B004AA"/>
    <w:pPr>
      <w:kinsoku w:val="0"/>
      <w:overflowPunct w:val="0"/>
      <w:spacing w:after="0"/>
      <w:ind w:right="69"/>
      <w:jc w:val="right"/>
    </w:pPr>
    <w:rPr>
      <w:rFonts w:ascii="Constantia" w:hAnsi="Constantia"/>
      <w:color w:val="0075A2" w:themeColor="accent2" w:themeShade="BF"/>
      <w:sz w:val="24"/>
      <w:szCs w:val="24"/>
    </w:rPr>
  </w:style>
  <w:style w:type="character" w:customStyle="1" w:styleId="DateChar">
    <w:name w:val="Date Char"/>
    <w:basedOn w:val="DefaultParagraphFont"/>
    <w:link w:val="Date"/>
    <w:uiPriority w:val="99"/>
    <w:rsid w:val="00B004AA"/>
    <w:rPr>
      <w:rFonts w:ascii="Constantia" w:hAnsi="Constantia" w:cs="Georgia"/>
      <w:color w:val="0075A2" w:themeColor="accent2" w:themeShade="BF"/>
      <w:sz w:val="24"/>
      <w:szCs w:val="24"/>
    </w:rPr>
  </w:style>
  <w:style w:type="paragraph" w:customStyle="1" w:styleId="ContactDetails">
    <w:name w:val="Contact Details"/>
    <w:basedOn w:val="Normal"/>
    <w:uiPriority w:val="1"/>
    <w:qFormat/>
    <w:rsid w:val="00C503F2"/>
    <w:pPr>
      <w:shd w:val="clear" w:color="auto" w:fill="1B74BC" w:themeFill="accent1"/>
      <w:spacing w:after="120"/>
      <w:jc w:val="center"/>
    </w:pPr>
    <w:rPr>
      <w:b/>
      <w:i/>
      <w:color w:val="FFFFFF"/>
      <w:sz w:val="24"/>
    </w:rPr>
  </w:style>
  <w:style w:type="paragraph" w:customStyle="1" w:styleId="StoryHighlight">
    <w:name w:val="Story Highlight"/>
    <w:basedOn w:val="Normal"/>
    <w:uiPriority w:val="1"/>
    <w:qFormat/>
    <w:rsid w:val="00844B11"/>
    <w:pPr>
      <w:spacing w:line="300" w:lineRule="atLeast"/>
    </w:pPr>
    <w:rPr>
      <w:rFonts w:ascii="Constantia" w:hAnsi="Constantia"/>
      <w:b/>
      <w:i/>
      <w:color w:val="001F5F" w:themeColor="text2"/>
      <w:sz w:val="24"/>
      <w:szCs w:val="20"/>
    </w:rPr>
  </w:style>
  <w:style w:type="paragraph" w:customStyle="1" w:styleId="PhoneEmailWeb">
    <w:name w:val="PhoneEmailWeb"/>
    <w:basedOn w:val="ContactDetails"/>
    <w:uiPriority w:val="1"/>
    <w:qFormat/>
    <w:rsid w:val="00C503F2"/>
    <w:pPr>
      <w:shd w:val="clear" w:color="auto" w:fill="0075A2" w:themeFill="accent2" w:themeFillShade="BF"/>
    </w:pPr>
  </w:style>
  <w:style w:type="paragraph" w:styleId="BalloonText">
    <w:name w:val="Balloon Text"/>
    <w:basedOn w:val="Normal"/>
    <w:link w:val="BalloonTextChar"/>
    <w:uiPriority w:val="99"/>
    <w:semiHidden/>
    <w:unhideWhenUsed/>
    <w:rsid w:val="003F4B2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B29"/>
    <w:rPr>
      <w:rFonts w:ascii="Segoe UI" w:hAnsi="Segoe UI" w:cs="Segoe UI"/>
      <w:sz w:val="18"/>
      <w:szCs w:val="18"/>
    </w:rPr>
  </w:style>
  <w:style w:type="character" w:styleId="Hyperlink">
    <w:name w:val="Hyperlink"/>
    <w:basedOn w:val="DefaultParagraphFont"/>
    <w:uiPriority w:val="99"/>
    <w:unhideWhenUsed/>
    <w:rsid w:val="003F4B29"/>
    <w:rPr>
      <w:color w:val="0046AD"/>
      <w:u w:val="single"/>
    </w:rPr>
  </w:style>
  <w:style w:type="character" w:styleId="CommentReference">
    <w:name w:val="annotation reference"/>
    <w:basedOn w:val="DefaultParagraphFont"/>
    <w:uiPriority w:val="99"/>
    <w:semiHidden/>
    <w:unhideWhenUsed/>
    <w:rsid w:val="002E1EC1"/>
    <w:rPr>
      <w:sz w:val="16"/>
      <w:szCs w:val="16"/>
    </w:rPr>
  </w:style>
  <w:style w:type="paragraph" w:styleId="CommentText">
    <w:name w:val="annotation text"/>
    <w:basedOn w:val="Normal"/>
    <w:link w:val="CommentTextChar"/>
    <w:uiPriority w:val="99"/>
    <w:semiHidden/>
    <w:unhideWhenUsed/>
    <w:rsid w:val="002E1EC1"/>
    <w:rPr>
      <w:sz w:val="20"/>
      <w:szCs w:val="20"/>
    </w:rPr>
  </w:style>
  <w:style w:type="character" w:customStyle="1" w:styleId="CommentTextChar">
    <w:name w:val="Comment Text Char"/>
    <w:basedOn w:val="DefaultParagraphFont"/>
    <w:link w:val="CommentText"/>
    <w:uiPriority w:val="99"/>
    <w:semiHidden/>
    <w:rsid w:val="002E1EC1"/>
    <w:rPr>
      <w:rFonts w:cs="Georgia"/>
      <w:sz w:val="20"/>
      <w:szCs w:val="20"/>
    </w:rPr>
  </w:style>
  <w:style w:type="paragraph" w:styleId="CommentSubject">
    <w:name w:val="annotation subject"/>
    <w:basedOn w:val="CommentText"/>
    <w:next w:val="CommentText"/>
    <w:link w:val="CommentSubjectChar"/>
    <w:uiPriority w:val="99"/>
    <w:semiHidden/>
    <w:unhideWhenUsed/>
    <w:rsid w:val="002E1EC1"/>
    <w:rPr>
      <w:b/>
      <w:bCs/>
    </w:rPr>
  </w:style>
  <w:style w:type="character" w:customStyle="1" w:styleId="CommentSubjectChar">
    <w:name w:val="Comment Subject Char"/>
    <w:basedOn w:val="CommentTextChar"/>
    <w:link w:val="CommentSubject"/>
    <w:uiPriority w:val="99"/>
    <w:semiHidden/>
    <w:rsid w:val="002E1EC1"/>
    <w:rPr>
      <w:rFonts w:cs="Georgia"/>
      <w:b/>
      <w:bCs/>
      <w:sz w:val="20"/>
      <w:szCs w:val="20"/>
    </w:rPr>
  </w:style>
  <w:style w:type="character" w:styleId="FollowedHyperlink">
    <w:name w:val="FollowedHyperlink"/>
    <w:basedOn w:val="DefaultParagraphFont"/>
    <w:uiPriority w:val="99"/>
    <w:semiHidden/>
    <w:unhideWhenUsed/>
    <w:rsid w:val="00762796"/>
    <w:rPr>
      <w:color w:val="85DFD0" w:themeColor="followedHyperlink"/>
      <w:u w:val="single"/>
    </w:rPr>
  </w:style>
  <w:style w:type="character" w:styleId="UnresolvedMention">
    <w:name w:val="Unresolved Mention"/>
    <w:basedOn w:val="DefaultParagraphFont"/>
    <w:uiPriority w:val="99"/>
    <w:semiHidden/>
    <w:unhideWhenUsed/>
    <w:rsid w:val="00076B79"/>
    <w:rPr>
      <w:color w:val="605E5C"/>
      <w:shd w:val="clear" w:color="auto" w:fill="E1DFDD"/>
    </w:rPr>
  </w:style>
  <w:style w:type="character" w:customStyle="1" w:styleId="Heading3Char">
    <w:name w:val="Heading 3 Char"/>
    <w:basedOn w:val="DefaultParagraphFont"/>
    <w:link w:val="Heading3"/>
    <w:uiPriority w:val="9"/>
    <w:semiHidden/>
    <w:rsid w:val="00421884"/>
    <w:rPr>
      <w:rFonts w:asciiTheme="majorHAnsi" w:eastAsiaTheme="majorEastAsia" w:hAnsiTheme="majorHAnsi" w:cstheme="majorBidi"/>
      <w:color w:val="0D395D" w:themeColor="accent1" w:themeShade="7F"/>
      <w:sz w:val="24"/>
      <w:szCs w:val="24"/>
    </w:rPr>
  </w:style>
  <w:style w:type="paragraph" w:styleId="NormalWeb">
    <w:name w:val="Normal (Web)"/>
    <w:basedOn w:val="Normal"/>
    <w:uiPriority w:val="99"/>
    <w:unhideWhenUsed/>
    <w:rsid w:val="00637FD1"/>
    <w:pPr>
      <w:widowControl/>
      <w:autoSpaceDE/>
      <w:autoSpaceDN/>
      <w:adjustRightInd/>
      <w:spacing w:before="100" w:beforeAutospacing="1" w:after="100" w:afterAutospacing="1"/>
    </w:pPr>
    <w:rPr>
      <w:rFonts w:ascii="Times New Roman" w:hAnsi="Times New Roman" w:cs="Times New Roman"/>
      <w:sz w:val="24"/>
      <w:szCs w:val="24"/>
    </w:rPr>
  </w:style>
  <w:style w:type="paragraph" w:styleId="Revision">
    <w:name w:val="Revision"/>
    <w:hidden/>
    <w:uiPriority w:val="99"/>
    <w:semiHidden/>
    <w:rsid w:val="009F607A"/>
    <w:pPr>
      <w:spacing w:after="0"/>
    </w:pPr>
    <w:rPr>
      <w:rFonts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01032">
      <w:bodyDiv w:val="1"/>
      <w:marLeft w:val="0"/>
      <w:marRight w:val="0"/>
      <w:marTop w:val="0"/>
      <w:marBottom w:val="0"/>
      <w:divBdr>
        <w:top w:val="none" w:sz="0" w:space="0" w:color="auto"/>
        <w:left w:val="none" w:sz="0" w:space="0" w:color="auto"/>
        <w:bottom w:val="none" w:sz="0" w:space="0" w:color="auto"/>
        <w:right w:val="none" w:sz="0" w:space="0" w:color="auto"/>
      </w:divBdr>
    </w:div>
    <w:div w:id="173543880">
      <w:bodyDiv w:val="1"/>
      <w:marLeft w:val="0"/>
      <w:marRight w:val="0"/>
      <w:marTop w:val="0"/>
      <w:marBottom w:val="0"/>
      <w:divBdr>
        <w:top w:val="none" w:sz="0" w:space="0" w:color="auto"/>
        <w:left w:val="none" w:sz="0" w:space="0" w:color="auto"/>
        <w:bottom w:val="none" w:sz="0" w:space="0" w:color="auto"/>
        <w:right w:val="none" w:sz="0" w:space="0" w:color="auto"/>
      </w:divBdr>
    </w:div>
    <w:div w:id="291400775">
      <w:bodyDiv w:val="1"/>
      <w:marLeft w:val="0"/>
      <w:marRight w:val="0"/>
      <w:marTop w:val="0"/>
      <w:marBottom w:val="0"/>
      <w:divBdr>
        <w:top w:val="none" w:sz="0" w:space="0" w:color="auto"/>
        <w:left w:val="none" w:sz="0" w:space="0" w:color="auto"/>
        <w:bottom w:val="none" w:sz="0" w:space="0" w:color="auto"/>
        <w:right w:val="none" w:sz="0" w:space="0" w:color="auto"/>
      </w:divBdr>
    </w:div>
    <w:div w:id="393698241">
      <w:bodyDiv w:val="1"/>
      <w:marLeft w:val="0"/>
      <w:marRight w:val="0"/>
      <w:marTop w:val="0"/>
      <w:marBottom w:val="0"/>
      <w:divBdr>
        <w:top w:val="none" w:sz="0" w:space="0" w:color="auto"/>
        <w:left w:val="none" w:sz="0" w:space="0" w:color="auto"/>
        <w:bottom w:val="none" w:sz="0" w:space="0" w:color="auto"/>
        <w:right w:val="none" w:sz="0" w:space="0" w:color="auto"/>
      </w:divBdr>
    </w:div>
    <w:div w:id="510950548">
      <w:bodyDiv w:val="1"/>
      <w:marLeft w:val="0"/>
      <w:marRight w:val="0"/>
      <w:marTop w:val="0"/>
      <w:marBottom w:val="0"/>
      <w:divBdr>
        <w:top w:val="none" w:sz="0" w:space="0" w:color="auto"/>
        <w:left w:val="none" w:sz="0" w:space="0" w:color="auto"/>
        <w:bottom w:val="none" w:sz="0" w:space="0" w:color="auto"/>
        <w:right w:val="none" w:sz="0" w:space="0" w:color="auto"/>
      </w:divBdr>
    </w:div>
    <w:div w:id="575630342">
      <w:bodyDiv w:val="1"/>
      <w:marLeft w:val="0"/>
      <w:marRight w:val="0"/>
      <w:marTop w:val="0"/>
      <w:marBottom w:val="0"/>
      <w:divBdr>
        <w:top w:val="none" w:sz="0" w:space="0" w:color="auto"/>
        <w:left w:val="none" w:sz="0" w:space="0" w:color="auto"/>
        <w:bottom w:val="none" w:sz="0" w:space="0" w:color="auto"/>
        <w:right w:val="none" w:sz="0" w:space="0" w:color="auto"/>
      </w:divBdr>
    </w:div>
    <w:div w:id="655911998">
      <w:bodyDiv w:val="1"/>
      <w:marLeft w:val="0"/>
      <w:marRight w:val="0"/>
      <w:marTop w:val="0"/>
      <w:marBottom w:val="0"/>
      <w:divBdr>
        <w:top w:val="none" w:sz="0" w:space="0" w:color="auto"/>
        <w:left w:val="none" w:sz="0" w:space="0" w:color="auto"/>
        <w:bottom w:val="none" w:sz="0" w:space="0" w:color="auto"/>
        <w:right w:val="none" w:sz="0" w:space="0" w:color="auto"/>
      </w:divBdr>
    </w:div>
    <w:div w:id="659892040">
      <w:bodyDiv w:val="1"/>
      <w:marLeft w:val="0"/>
      <w:marRight w:val="0"/>
      <w:marTop w:val="0"/>
      <w:marBottom w:val="0"/>
      <w:divBdr>
        <w:top w:val="none" w:sz="0" w:space="0" w:color="auto"/>
        <w:left w:val="none" w:sz="0" w:space="0" w:color="auto"/>
        <w:bottom w:val="none" w:sz="0" w:space="0" w:color="auto"/>
        <w:right w:val="none" w:sz="0" w:space="0" w:color="auto"/>
      </w:divBdr>
    </w:div>
    <w:div w:id="801266997">
      <w:bodyDiv w:val="1"/>
      <w:marLeft w:val="0"/>
      <w:marRight w:val="0"/>
      <w:marTop w:val="0"/>
      <w:marBottom w:val="0"/>
      <w:divBdr>
        <w:top w:val="none" w:sz="0" w:space="0" w:color="auto"/>
        <w:left w:val="none" w:sz="0" w:space="0" w:color="auto"/>
        <w:bottom w:val="none" w:sz="0" w:space="0" w:color="auto"/>
        <w:right w:val="none" w:sz="0" w:space="0" w:color="auto"/>
      </w:divBdr>
    </w:div>
    <w:div w:id="808741269">
      <w:bodyDiv w:val="1"/>
      <w:marLeft w:val="0"/>
      <w:marRight w:val="0"/>
      <w:marTop w:val="0"/>
      <w:marBottom w:val="0"/>
      <w:divBdr>
        <w:top w:val="none" w:sz="0" w:space="0" w:color="auto"/>
        <w:left w:val="none" w:sz="0" w:space="0" w:color="auto"/>
        <w:bottom w:val="none" w:sz="0" w:space="0" w:color="auto"/>
        <w:right w:val="none" w:sz="0" w:space="0" w:color="auto"/>
      </w:divBdr>
    </w:div>
    <w:div w:id="846597413">
      <w:bodyDiv w:val="1"/>
      <w:marLeft w:val="0"/>
      <w:marRight w:val="0"/>
      <w:marTop w:val="0"/>
      <w:marBottom w:val="0"/>
      <w:divBdr>
        <w:top w:val="none" w:sz="0" w:space="0" w:color="auto"/>
        <w:left w:val="none" w:sz="0" w:space="0" w:color="auto"/>
        <w:bottom w:val="none" w:sz="0" w:space="0" w:color="auto"/>
        <w:right w:val="none" w:sz="0" w:space="0" w:color="auto"/>
      </w:divBdr>
    </w:div>
    <w:div w:id="887760951">
      <w:bodyDiv w:val="1"/>
      <w:marLeft w:val="0"/>
      <w:marRight w:val="0"/>
      <w:marTop w:val="0"/>
      <w:marBottom w:val="0"/>
      <w:divBdr>
        <w:top w:val="none" w:sz="0" w:space="0" w:color="auto"/>
        <w:left w:val="none" w:sz="0" w:space="0" w:color="auto"/>
        <w:bottom w:val="none" w:sz="0" w:space="0" w:color="auto"/>
        <w:right w:val="none" w:sz="0" w:space="0" w:color="auto"/>
      </w:divBdr>
    </w:div>
    <w:div w:id="896816316">
      <w:bodyDiv w:val="1"/>
      <w:marLeft w:val="0"/>
      <w:marRight w:val="0"/>
      <w:marTop w:val="0"/>
      <w:marBottom w:val="0"/>
      <w:divBdr>
        <w:top w:val="none" w:sz="0" w:space="0" w:color="auto"/>
        <w:left w:val="none" w:sz="0" w:space="0" w:color="auto"/>
        <w:bottom w:val="none" w:sz="0" w:space="0" w:color="auto"/>
        <w:right w:val="none" w:sz="0" w:space="0" w:color="auto"/>
      </w:divBdr>
    </w:div>
    <w:div w:id="954022445">
      <w:bodyDiv w:val="1"/>
      <w:marLeft w:val="0"/>
      <w:marRight w:val="0"/>
      <w:marTop w:val="0"/>
      <w:marBottom w:val="0"/>
      <w:divBdr>
        <w:top w:val="none" w:sz="0" w:space="0" w:color="auto"/>
        <w:left w:val="none" w:sz="0" w:space="0" w:color="auto"/>
        <w:bottom w:val="none" w:sz="0" w:space="0" w:color="auto"/>
        <w:right w:val="none" w:sz="0" w:space="0" w:color="auto"/>
      </w:divBdr>
    </w:div>
    <w:div w:id="1071149246">
      <w:bodyDiv w:val="1"/>
      <w:marLeft w:val="0"/>
      <w:marRight w:val="0"/>
      <w:marTop w:val="0"/>
      <w:marBottom w:val="0"/>
      <w:divBdr>
        <w:top w:val="none" w:sz="0" w:space="0" w:color="auto"/>
        <w:left w:val="none" w:sz="0" w:space="0" w:color="auto"/>
        <w:bottom w:val="none" w:sz="0" w:space="0" w:color="auto"/>
        <w:right w:val="none" w:sz="0" w:space="0" w:color="auto"/>
      </w:divBdr>
    </w:div>
    <w:div w:id="1082263506">
      <w:bodyDiv w:val="1"/>
      <w:marLeft w:val="0"/>
      <w:marRight w:val="0"/>
      <w:marTop w:val="0"/>
      <w:marBottom w:val="0"/>
      <w:divBdr>
        <w:top w:val="none" w:sz="0" w:space="0" w:color="auto"/>
        <w:left w:val="none" w:sz="0" w:space="0" w:color="auto"/>
        <w:bottom w:val="none" w:sz="0" w:space="0" w:color="auto"/>
        <w:right w:val="none" w:sz="0" w:space="0" w:color="auto"/>
      </w:divBdr>
    </w:div>
    <w:div w:id="1150944147">
      <w:bodyDiv w:val="1"/>
      <w:marLeft w:val="0"/>
      <w:marRight w:val="0"/>
      <w:marTop w:val="0"/>
      <w:marBottom w:val="0"/>
      <w:divBdr>
        <w:top w:val="none" w:sz="0" w:space="0" w:color="auto"/>
        <w:left w:val="none" w:sz="0" w:space="0" w:color="auto"/>
        <w:bottom w:val="none" w:sz="0" w:space="0" w:color="auto"/>
        <w:right w:val="none" w:sz="0" w:space="0" w:color="auto"/>
      </w:divBdr>
    </w:div>
    <w:div w:id="1357384376">
      <w:bodyDiv w:val="1"/>
      <w:marLeft w:val="0"/>
      <w:marRight w:val="0"/>
      <w:marTop w:val="0"/>
      <w:marBottom w:val="0"/>
      <w:divBdr>
        <w:top w:val="none" w:sz="0" w:space="0" w:color="auto"/>
        <w:left w:val="none" w:sz="0" w:space="0" w:color="auto"/>
        <w:bottom w:val="none" w:sz="0" w:space="0" w:color="auto"/>
        <w:right w:val="none" w:sz="0" w:space="0" w:color="auto"/>
      </w:divBdr>
    </w:div>
    <w:div w:id="1449857271">
      <w:bodyDiv w:val="1"/>
      <w:marLeft w:val="0"/>
      <w:marRight w:val="0"/>
      <w:marTop w:val="0"/>
      <w:marBottom w:val="0"/>
      <w:divBdr>
        <w:top w:val="none" w:sz="0" w:space="0" w:color="auto"/>
        <w:left w:val="none" w:sz="0" w:space="0" w:color="auto"/>
        <w:bottom w:val="none" w:sz="0" w:space="0" w:color="auto"/>
        <w:right w:val="none" w:sz="0" w:space="0" w:color="auto"/>
      </w:divBdr>
    </w:div>
    <w:div w:id="1510489502">
      <w:bodyDiv w:val="1"/>
      <w:marLeft w:val="0"/>
      <w:marRight w:val="0"/>
      <w:marTop w:val="0"/>
      <w:marBottom w:val="0"/>
      <w:divBdr>
        <w:top w:val="none" w:sz="0" w:space="0" w:color="auto"/>
        <w:left w:val="none" w:sz="0" w:space="0" w:color="auto"/>
        <w:bottom w:val="none" w:sz="0" w:space="0" w:color="auto"/>
        <w:right w:val="none" w:sz="0" w:space="0" w:color="auto"/>
      </w:divBdr>
    </w:div>
    <w:div w:id="1604652271">
      <w:bodyDiv w:val="1"/>
      <w:marLeft w:val="0"/>
      <w:marRight w:val="0"/>
      <w:marTop w:val="0"/>
      <w:marBottom w:val="0"/>
      <w:divBdr>
        <w:top w:val="none" w:sz="0" w:space="0" w:color="auto"/>
        <w:left w:val="none" w:sz="0" w:space="0" w:color="auto"/>
        <w:bottom w:val="none" w:sz="0" w:space="0" w:color="auto"/>
        <w:right w:val="none" w:sz="0" w:space="0" w:color="auto"/>
      </w:divBdr>
    </w:div>
    <w:div w:id="1994601027">
      <w:bodyDiv w:val="1"/>
      <w:marLeft w:val="0"/>
      <w:marRight w:val="0"/>
      <w:marTop w:val="0"/>
      <w:marBottom w:val="0"/>
      <w:divBdr>
        <w:top w:val="none" w:sz="0" w:space="0" w:color="auto"/>
        <w:left w:val="none" w:sz="0" w:space="0" w:color="auto"/>
        <w:bottom w:val="none" w:sz="0" w:space="0" w:color="auto"/>
        <w:right w:val="none" w:sz="0" w:space="0" w:color="auto"/>
      </w:divBdr>
    </w:div>
    <w:div w:id="2041399182">
      <w:bodyDiv w:val="1"/>
      <w:marLeft w:val="0"/>
      <w:marRight w:val="0"/>
      <w:marTop w:val="0"/>
      <w:marBottom w:val="0"/>
      <w:divBdr>
        <w:top w:val="none" w:sz="0" w:space="0" w:color="auto"/>
        <w:left w:val="none" w:sz="0" w:space="0" w:color="auto"/>
        <w:bottom w:val="none" w:sz="0" w:space="0" w:color="auto"/>
        <w:right w:val="none" w:sz="0" w:space="0" w:color="auto"/>
      </w:divBdr>
    </w:div>
    <w:div w:id="21101948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icpa.org/sba" TargetMode="External"/><Relationship Id="rId18" Type="http://schemas.openxmlformats.org/officeDocument/2006/relationships/hyperlink" Target="https://www.aicpa.org/eaq" TargetMode="External"/><Relationship Id="rId26" Type="http://schemas.openxmlformats.org/officeDocument/2006/relationships/hyperlink" Target="https://www.aicpa.org/interestareas/frc/assuranceadvisoryservices/soc-for-supply-chain.html" TargetMode="External"/><Relationship Id="rId39" Type="http://schemas.openxmlformats.org/officeDocument/2006/relationships/hyperlink" Target="https://www.aicpa.org/content/aicpa/interestareas/professionalethics/ethically-speaking/ep-14-take-a-peek-into-peec-activities-q2-meeting.html"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header" Target="header3.xml"/><Relationship Id="rId42" Type="http://schemas.openxmlformats.org/officeDocument/2006/relationships/hyperlink" Target="https://www.aicpa.org/interestareas/privatecompaniespracticesection/qualityservicesdelivery/sba-paycheck-protection-program-resources-for-cpas/ethical-implications-to-consider-for-covid-19-ppp-loan-applicati.html" TargetMode="External"/><Relationship Id="rId47" Type="http://schemas.openxmlformats.org/officeDocument/2006/relationships/hyperlink" Target="https://www.aicpa.org/content/dam/aicpa/interestareas/frc/assuranceadvisoryservices/downloadabledocuments/criteria-for-describing-a-set-of-data-and-evaluating-its-integrity.pdf" TargetMode="External"/><Relationship Id="rId50" Type="http://schemas.openxmlformats.org/officeDocument/2006/relationships/hyperlink" Target="https://www.aicpa.org/content/dam/aicpa/interestareas/frc/assuranceadvisoryservices/downloadabledocuments/cpas-introduction-to-ai-from-algorithms.pdf" TargetMode="External"/><Relationship Id="rId7" Type="http://schemas.openxmlformats.org/officeDocument/2006/relationships/settings" Target="settings.xml"/><Relationship Id="rId12" Type="http://schemas.openxmlformats.org/officeDocument/2006/relationships/hyperlink" Target="https://www.aicpa.org/interestareas/frc/covid19.html" TargetMode="External"/><Relationship Id="rId17" Type="http://schemas.openxmlformats.org/officeDocument/2006/relationships/hyperlink" Target="https://www.aicpa.org/research/standards/auditattest/asb.html" TargetMode="External"/><Relationship Id="rId25" Type="http://schemas.openxmlformats.org/officeDocument/2006/relationships/hyperlink" Target="https://www.aicpa.org/interestareas/privatecompaniespracticesection/qualityservicesdelivery/keepingup/breaking-down-revenue-recognition.html" TargetMode="External"/><Relationship Id="rId33" Type="http://schemas.openxmlformats.org/officeDocument/2006/relationships/footer" Target="footer2.xml"/><Relationship Id="rId38" Type="http://schemas.openxmlformats.org/officeDocument/2006/relationships/hyperlink" Target="https://pub.aicpa.org/codeofconduct/ethics.aspx?targetdoc=et-cod&amp;targetptr=et-cod1.260.040" TargetMode="External"/><Relationship Id="rId46" Type="http://schemas.openxmlformats.org/officeDocument/2006/relationships/hyperlink" Target="https://www.aicpa.org/interestareas/informationtechnology/resources/blockchain/digital-assets.html" TargetMode="External"/><Relationship Id="rId2" Type="http://schemas.openxmlformats.org/officeDocument/2006/relationships/customXml" Target="../customXml/item2.xml"/><Relationship Id="rId16" Type="http://schemas.openxmlformats.org/officeDocument/2006/relationships/hyperlink" Target="https://www.aicpa.org/content/dam/aicpa/interestareas/peerreview/community/peerreviewboard/meetingminutes/downloadabledocuments/202004-prb-open-highlights.pdf" TargetMode="External"/><Relationship Id="rId20" Type="http://schemas.openxmlformats.org/officeDocument/2006/relationships/hyperlink" Target="https://www.aicpastore.com/AuditAttest/Standards/covid-19-audit-implications/PRDOVR~PC-WC2305781/PC-WC2305781.jsp?cid=referral:Newsletter:LRN20CoronaV:AuditImplicationsWebcast:aicpa&amp;utm_medium=referral&amp;utm_source=Newsletter&amp;utm_campaign=LRN20CoronaV&amp;utm_content=AuditImplicationsWebcast" TargetMode="External"/><Relationship Id="rId29" Type="http://schemas.openxmlformats.org/officeDocument/2006/relationships/hyperlink" Target="https://www.aicpa.org/content/aicpa/interestareas/professionalethics/ethically-speaking/ep-15-eaq-whats-it-all-about.html" TargetMode="External"/><Relationship Id="rId41" Type="http://schemas.openxmlformats.org/officeDocument/2006/relationships/hyperlink" Target="https://www.aicpa.org/content/dam/aicpa/interestareas/professionalethics/community/exposuredrafts/downloadabledocuments/2020/2020-april-exposure-draft.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journalofaccountancy.com/news/2019/dec/auditor-independence-while-advising-on-revenue-recognition-201922520.html" TargetMode="External"/><Relationship Id="rId32" Type="http://schemas.openxmlformats.org/officeDocument/2006/relationships/footer" Target="footer1.xml"/><Relationship Id="rId37" Type="http://schemas.openxmlformats.org/officeDocument/2006/relationships/hyperlink" Target="https://pub.aicpa.org/codeofconduct/ethics.aspx?targetdoc=et-cod&amp;targetptr=et-cod1.224.020" TargetMode="External"/><Relationship Id="rId40" Type="http://schemas.openxmlformats.org/officeDocument/2006/relationships/hyperlink" Target="http://www.aicpa.org/PEECmeeting" TargetMode="External"/><Relationship Id="rId45" Type="http://schemas.openxmlformats.org/officeDocument/2006/relationships/hyperlink" Target="https://www.aicpa.org/interestareas/peerreview/community/links/statesocietiesandneprlinks.html"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icpa.org/content/dam/aicpa/interestareas/peerreview/newsandpublications/downloadabledocuments/reviewer-alert-202003.pdf" TargetMode="External"/><Relationship Id="rId23" Type="http://schemas.openxmlformats.org/officeDocument/2006/relationships/hyperlink" Target="https://www.journalofaccountancy.com/news/2020/feb/fasb-revenue-recognition-standard-and-auditor-independence.html" TargetMode="External"/><Relationship Id="rId28" Type="http://schemas.openxmlformats.org/officeDocument/2006/relationships/hyperlink" Target="https://www.aicpa.org/eaq/eaq-annual-highlights-and-progress-reports.html" TargetMode="External"/><Relationship Id="rId36" Type="http://schemas.openxmlformats.org/officeDocument/2006/relationships/hyperlink" Target="https://pub.aicpa.org/codeofconduct/ethics.aspx?targetdoc=et-cod&amp;targetptr=et-cod1.295.145" TargetMode="External"/><Relationship Id="rId49" Type="http://schemas.openxmlformats.org/officeDocument/2006/relationships/hyperlink" Target="https://www.aicpa.org/content/dam/aicpa/interestareas/frc/assuranceadvisoryservices/downloadabledocuments/criteria-for-describing-a-set-of-data-and-evaluating-its-integrity.pdf" TargetMode="External"/><Relationship Id="rId10" Type="http://schemas.openxmlformats.org/officeDocument/2006/relationships/endnotes" Target="endnotes.xml"/><Relationship Id="rId19" Type="http://schemas.openxmlformats.org/officeDocument/2006/relationships/hyperlink" Target="https://www.aicpa.org/interestareas/frc/covid19.html" TargetMode="External"/><Relationship Id="rId31" Type="http://schemas.openxmlformats.org/officeDocument/2006/relationships/header" Target="header2.xml"/><Relationship Id="rId44" Type="http://schemas.openxmlformats.org/officeDocument/2006/relationships/hyperlink" Target="https://www.aicpa.org/content/aicpa/interestareas/professionalethics/ethically-speaking/ep-13-ppp-ethics-agent-how-to-untangle.html" TargetMode="External"/><Relationship Id="rId52"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icpa.org/news/aicpa-coronavirus-resource-center.html" TargetMode="External"/><Relationship Id="rId22" Type="http://schemas.openxmlformats.org/officeDocument/2006/relationships/hyperlink" Target="https://www.aicpa.org/interestareas/frc/accountingfinancialreporting/revenuerecognition.html?cid=referral:KIMG:January:learnmore:aicpa&amp;utm_medium=referral&amp;utm_source=KIMG&amp;utm_campaign=April&amp;utm_content=learnmore" TargetMode="External"/><Relationship Id="rId27" Type="http://schemas.openxmlformats.org/officeDocument/2006/relationships/hyperlink" Target="https://www.aicpa.org/content/dam/aicpa/interestareas/frc/assuranceadvisoryservices/downloadabledocuments/faq-soc-engagements-coronavirus.pdf" TargetMode="External"/><Relationship Id="rId30" Type="http://schemas.openxmlformats.org/officeDocument/2006/relationships/header" Target="header1.xml"/><Relationship Id="rId35" Type="http://schemas.openxmlformats.org/officeDocument/2006/relationships/footer" Target="footer3.xml"/><Relationship Id="rId43" Type="http://schemas.openxmlformats.org/officeDocument/2006/relationships/hyperlink" Target="https://www.aicpa.org/interestareas/privatecompaniespracticesection/qualityservicesdelivery/sba-paycheck-protection-program-resources-for-cpas/update-impact-of-accepting-ppp-agent-fees-on-independence.html" TargetMode="External"/><Relationship Id="rId48" Type="http://schemas.openxmlformats.org/officeDocument/2006/relationships/hyperlink" Target="https://www.aicpa.org/content/dam/aicpa/interestareas/frc/assuranceadvisoryservices/downloadabledocuments/describing-a-set-of-data-and-evaluating-its-integrity.pdf" TargetMode="External"/><Relationship Id="rId8" Type="http://schemas.openxmlformats.org/officeDocument/2006/relationships/webSettings" Target="webSettings.xml"/><Relationship Id="rId51" Type="http://schemas.openxmlformats.org/officeDocument/2006/relationships/hyperlink" Target="https://www.aicpa.org/interestareas/informationtechnology/resources/artificial-intelligenc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are\AppData\Roaming\Microsoft\Templates\Hardware%20newsletter.dotx" TargetMode="External"/></Relationships>
</file>

<file path=word/theme/theme1.xml><?xml version="1.0" encoding="utf-8"?>
<a:theme xmlns:a="http://schemas.openxmlformats.org/drawingml/2006/main" name="Office Theme">
  <a:themeElements>
    <a:clrScheme name="Custom 11">
      <a:dk1>
        <a:srgbClr val="000000"/>
      </a:dk1>
      <a:lt1>
        <a:srgbClr val="FFFFFF"/>
      </a:lt1>
      <a:dk2>
        <a:srgbClr val="001F5F"/>
      </a:dk2>
      <a:lt2>
        <a:srgbClr val="1DA4DF"/>
      </a:lt2>
      <a:accent1>
        <a:srgbClr val="1B74BC"/>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ustom 11">
      <a:majorFont>
        <a:latin typeface="Calibri Light"/>
        <a:ea typeface=""/>
        <a:cs typeface=""/>
      </a:majorFont>
      <a:minorFont>
        <a:latin typeface="Constant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D81C974303B748913C43E1198B0C05" ma:contentTypeVersion="15" ma:contentTypeDescription="Create a new document." ma:contentTypeScope="" ma:versionID="a3477af0b8ed1e9e7aec8ed9b6fd69ea">
  <xsd:schema xmlns:xsd="http://www.w3.org/2001/XMLSchema" xmlns:xs="http://www.w3.org/2001/XMLSchema" xmlns:p="http://schemas.microsoft.com/office/2006/metadata/properties" xmlns:ns1="http://schemas.microsoft.com/sharepoint/v3" xmlns:ns3="75b3c9cb-7bd1-479f-9268-fc007916113e" xmlns:ns4="9812d7a0-4f9a-402c-b7a1-cdc5723cb6d9" targetNamespace="http://schemas.microsoft.com/office/2006/metadata/properties" ma:root="true" ma:fieldsID="c2cc26d362c742cebd07bb2c812e371c" ns1:_="" ns3:_="" ns4:_="">
    <xsd:import namespace="http://schemas.microsoft.com/sharepoint/v3"/>
    <xsd:import namespace="75b3c9cb-7bd1-479f-9268-fc007916113e"/>
    <xsd:import namespace="9812d7a0-4f9a-402c-b7a1-cdc5723cb6d9"/>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b3c9cb-7bd1-479f-9268-fc007916113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12d7a0-4f9a-402c-b7a1-cdc5723cb6d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75b3c9cb-7bd1-479f-9268-fc007916113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429EEA4-B0EA-454E-A1E4-9611C7D4E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b3c9cb-7bd1-479f-9268-fc007916113e"/>
    <ds:schemaRef ds:uri="9812d7a0-4f9a-402c-b7a1-cdc5723cb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57E44A-3D45-4861-997B-4E8202BF001F}">
  <ds:schemaRefs>
    <ds:schemaRef ds:uri="http://schemas.microsoft.com/sharepoint/v3/contenttype/forms"/>
  </ds:schemaRefs>
</ds:datastoreItem>
</file>

<file path=customXml/itemProps3.xml><?xml version="1.0" encoding="utf-8"?>
<ds:datastoreItem xmlns:ds="http://schemas.openxmlformats.org/officeDocument/2006/customXml" ds:itemID="{6A5723A9-56A6-47D9-9F3B-BB28FB5F1650}">
  <ds:schemaRefs>
    <ds:schemaRef ds:uri="http://schemas.openxmlformats.org/package/2006/metadata/core-properties"/>
    <ds:schemaRef ds:uri="http://schemas.microsoft.com/office/2006/metadata/properties"/>
    <ds:schemaRef ds:uri="9812d7a0-4f9a-402c-b7a1-cdc5723cb6d9"/>
    <ds:schemaRef ds:uri="http://purl.org/dc/dcmitype/"/>
    <ds:schemaRef ds:uri="http://schemas.microsoft.com/office/infopath/2007/PartnerControls"/>
    <ds:schemaRef ds:uri="http://schemas.microsoft.com/sharepoint/v3"/>
    <ds:schemaRef ds:uri="http://www.w3.org/XML/1998/namespace"/>
    <ds:schemaRef ds:uri="http://schemas.microsoft.com/office/2006/documentManagement/types"/>
    <ds:schemaRef ds:uri="75b3c9cb-7bd1-479f-9268-fc007916113e"/>
    <ds:schemaRef ds:uri="http://purl.org/dc/terms/"/>
    <ds:schemaRef ds:uri="http://purl.org/dc/elements/1.1/"/>
  </ds:schemaRefs>
</ds:datastoreItem>
</file>

<file path=customXml/itemProps4.xml><?xml version="1.0" encoding="utf-8"?>
<ds:datastoreItem xmlns:ds="http://schemas.openxmlformats.org/officeDocument/2006/customXml" ds:itemID="{416A5526-AD00-414C-8323-739739CAC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Hardware newsletter</Template>
  <TotalTime>0</TotalTime>
  <Pages>4</Pages>
  <Words>2579</Words>
  <Characters>14704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2021-10-26T17:38:00Z</dcterms:created>
  <dcterms:modified xsi:type="dcterms:W3CDTF">2021-10-26T17:38:00Z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0x0101000AD81C974303B748913C43E1198B0C05</vt:lpwstr>
  </property>
</Properties>
</file>