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D7FAC" w14:textId="210E2027" w:rsidR="00DA0B68" w:rsidRDefault="00B36508">
      <w:pPr>
        <w:spacing w:after="0" w:line="259" w:lineRule="auto"/>
        <w:ind w:left="0" w:firstLine="0"/>
      </w:pPr>
      <w:r>
        <w:rPr>
          <w:b/>
          <w:noProof/>
          <w:color w:val="72246C"/>
          <w:sz w:val="64"/>
        </w:rPr>
        <w:drawing>
          <wp:anchor distT="0" distB="0" distL="114300" distR="114300" simplePos="0" relativeHeight="251675648" behindDoc="1" locked="0" layoutInCell="1" allowOverlap="1" wp14:anchorId="5C2CD0E5" wp14:editId="65B3CAA0">
            <wp:simplePos x="0" y="0"/>
            <wp:positionH relativeFrom="column">
              <wp:posOffset>5033010</wp:posOffset>
            </wp:positionH>
            <wp:positionV relativeFrom="paragraph">
              <wp:posOffset>-361950</wp:posOffset>
            </wp:positionV>
            <wp:extent cx="2204992" cy="1270184"/>
            <wp:effectExtent l="0" t="0" r="5080" b="6350"/>
            <wp:wrapNone/>
            <wp:docPr id="626340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4992" cy="1270184"/>
                    </a:xfrm>
                    <a:prstGeom prst="rect">
                      <a:avLst/>
                    </a:prstGeom>
                    <a:noFill/>
                  </pic:spPr>
                </pic:pic>
              </a:graphicData>
            </a:graphic>
            <wp14:sizeRelH relativeFrom="page">
              <wp14:pctWidth>0</wp14:pctWidth>
            </wp14:sizeRelH>
            <wp14:sizeRelV relativeFrom="page">
              <wp14:pctHeight>0</wp14:pctHeight>
            </wp14:sizeRelV>
          </wp:anchor>
        </w:drawing>
      </w:r>
      <w:r w:rsidR="00167A9F">
        <w:rPr>
          <w:b/>
          <w:color w:val="72246C"/>
          <w:sz w:val="64"/>
        </w:rPr>
        <w:t xml:space="preserve">PR PROMPTS </w:t>
      </w:r>
    </w:p>
    <w:p w14:paraId="6C3F81FD" w14:textId="079E78F9" w:rsidR="00B36508" w:rsidRPr="00B36508" w:rsidRDefault="00167A9F" w:rsidP="00B36508">
      <w:pPr>
        <w:spacing w:after="120" w:line="240" w:lineRule="auto"/>
        <w:ind w:left="58" w:firstLine="0"/>
      </w:pPr>
      <w:r>
        <w:rPr>
          <w:b/>
          <w:color w:val="7F7F7F"/>
          <w:sz w:val="26"/>
        </w:rPr>
        <w:t>Spring 202</w:t>
      </w:r>
      <w:r w:rsidR="00F961E8">
        <w:rPr>
          <w:b/>
          <w:color w:val="7F7F7F"/>
          <w:sz w:val="26"/>
        </w:rPr>
        <w:t>4</w:t>
      </w:r>
      <w:r>
        <w:rPr>
          <w:b/>
          <w:color w:val="7F7F7F"/>
          <w:sz w:val="26"/>
        </w:rPr>
        <w:t xml:space="preserve"> </w:t>
      </w:r>
    </w:p>
    <w:p w14:paraId="4004DAA3" w14:textId="35E34E4C" w:rsidR="00DA0B68" w:rsidRDefault="00E6061D" w:rsidP="00201692">
      <w:pPr>
        <w:spacing w:after="0" w:line="259" w:lineRule="auto"/>
        <w:ind w:left="53"/>
      </w:pPr>
      <w:r>
        <w:rPr>
          <w:b/>
          <w:color w:val="72246C"/>
          <w:sz w:val="28"/>
        </w:rPr>
        <w:t>Coming soon!</w:t>
      </w:r>
      <w:r w:rsidR="00F961E8" w:rsidRPr="00F961E8">
        <w:rPr>
          <w:b/>
          <w:color w:val="72246C"/>
          <w:sz w:val="28"/>
        </w:rPr>
        <w:t xml:space="preserve"> </w:t>
      </w:r>
      <w:r>
        <w:rPr>
          <w:b/>
          <w:color w:val="72246C"/>
          <w:sz w:val="28"/>
        </w:rPr>
        <w:t>A</w:t>
      </w:r>
      <w:r w:rsidR="00F961E8" w:rsidRPr="00F961E8">
        <w:rPr>
          <w:b/>
          <w:color w:val="72246C"/>
          <w:sz w:val="28"/>
        </w:rPr>
        <w:t xml:space="preserve">rticles from the Auditing Standards </w:t>
      </w:r>
      <w:r w:rsidR="00F961E8">
        <w:rPr>
          <w:b/>
          <w:color w:val="72246C"/>
          <w:sz w:val="28"/>
        </w:rPr>
        <w:t>Board</w:t>
      </w:r>
    </w:p>
    <w:p w14:paraId="1D0E8ABF" w14:textId="724AC0CA" w:rsidR="00F961E8" w:rsidRDefault="00F961E8" w:rsidP="00A376F5">
      <w:pPr>
        <w:spacing w:after="120"/>
        <w:ind w:left="43" w:firstLine="0"/>
      </w:pPr>
      <w:r>
        <w:t xml:space="preserve">During and in conjunction with the 2023 AICPA Peer Review Conference, the AICPA’s Auditing Standards Board (ASB) collected information from peer reviewers who perform system reviews. Based on this information, there are two articles in forthcoming publications of the </w:t>
      </w:r>
      <w:r w:rsidRPr="002911EB">
        <w:rPr>
          <w:i/>
          <w:iCs/>
        </w:rPr>
        <w:t>Journal of Accountancy</w:t>
      </w:r>
      <w:r>
        <w:t xml:space="preserve">. </w:t>
      </w:r>
    </w:p>
    <w:p w14:paraId="2101AD6C" w14:textId="16D14D48" w:rsidR="00F961E8" w:rsidRDefault="00F961E8" w:rsidP="00A376F5">
      <w:pPr>
        <w:spacing w:after="120"/>
        <w:ind w:left="43" w:firstLine="0"/>
      </w:pPr>
      <w:r>
        <w:t>The first article, to be published in Spring 2024, will discuss actions that peer reviewers and reviewed firms can take to enhance the peer review experience and related outcomes (i.e., performance gains that peer reviewers typically identify during the review process). The second article, to be published in Fall 2024</w:t>
      </w:r>
      <w:r w:rsidR="00EC1366">
        <w:t>,</w:t>
      </w:r>
      <w:r>
        <w:t xml:space="preserve"> will discuss findings related to fraud, audit documentation, technology, and possibly quality management.</w:t>
      </w:r>
    </w:p>
    <w:p w14:paraId="705D62A7" w14:textId="5D17448C" w:rsidR="00DA0B68" w:rsidRDefault="00F961E8" w:rsidP="00A376F5">
      <w:pPr>
        <w:spacing w:after="120"/>
        <w:ind w:left="43" w:firstLine="0"/>
      </w:pPr>
      <w:r>
        <w:t>Both articles will be authored by J. Gregory Jenkins CPA, Ph.D., a member of the ASB and the Ingwersen Professor in the School of Accountancy in the Harbert College of Business at Auburn University.</w:t>
      </w:r>
      <w:r w:rsidR="00167A9F">
        <w:rPr>
          <w:rFonts w:ascii="Calibri" w:eastAsia="Calibri" w:hAnsi="Calibri" w:cs="Calibri"/>
          <w:noProof/>
        </w:rPr>
        <mc:AlternateContent>
          <mc:Choice Requires="wpg">
            <w:drawing>
              <wp:inline distT="0" distB="0" distL="0" distR="0" wp14:anchorId="0CF2793B" wp14:editId="4D21915E">
                <wp:extent cx="6858013" cy="25400"/>
                <wp:effectExtent l="0" t="0" r="0" b="0"/>
                <wp:docPr id="7173" name="Group 7173"/>
                <wp:cNvGraphicFramePr/>
                <a:graphic xmlns:a="http://schemas.openxmlformats.org/drawingml/2006/main">
                  <a:graphicData uri="http://schemas.microsoft.com/office/word/2010/wordprocessingGroup">
                    <wpg:wgp>
                      <wpg:cNvGrpSpPr/>
                      <wpg:grpSpPr>
                        <a:xfrm>
                          <a:off x="0" y="0"/>
                          <a:ext cx="6858013" cy="25400"/>
                          <a:chOff x="0" y="0"/>
                          <a:chExt cx="6858013" cy="25400"/>
                        </a:xfrm>
                      </wpg:grpSpPr>
                      <wps:wsp>
                        <wps:cNvPr id="93" name="Shape 93"/>
                        <wps:cNvSpPr/>
                        <wps:spPr>
                          <a:xfrm>
                            <a:off x="0" y="0"/>
                            <a:ext cx="6858013" cy="0"/>
                          </a:xfrm>
                          <a:custGeom>
                            <a:avLst/>
                            <a:gdLst/>
                            <a:ahLst/>
                            <a:cxnLst/>
                            <a:rect l="0" t="0" r="0" b="0"/>
                            <a:pathLst>
                              <a:path w="6858013">
                                <a:moveTo>
                                  <a:pt x="0" y="0"/>
                                </a:moveTo>
                                <a:lnTo>
                                  <a:pt x="6858013"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C16074" id="Group 7173" o:spid="_x0000_s1026" style="width:540pt;height:2pt;mso-position-horizontal-relative:char;mso-position-vertical-relative:lin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ATRQIAAJ4FAAAOAAAAZHJzL2Uyb0RvYy54bWykVE2P2yAQvVfqf0C+N3bS7iq1Yu+h2+ZS&#10;tavu9gdMMNiWMCAgcfLvO4w/kmbVPaQ+4AFmHvMew2wejp1iB+F8a3SRLBdZwoTmpmp1XSS/X759&#10;WCfMB9AVKKNFkZyETx7K9+82vc3FyjRGVcIxBNE+722RNCHYPE09b0QHfmGs0Lgpjesg4NTVaeWg&#10;R/ROpassu0974yrrDBfe4+rjsJmUhC+l4OGnlF4EpooEcws0Ohp3cUzLDeS1A9u0fEwDbsiig1bj&#10;oTPUIwRge9e+gupa7ow3Miy46VIjZcsFcUA2y+yKzdaZvSUudd7XdpYJpb3S6WZY/uOwdfbZPjlU&#10;orc1akGzyOUoXRf/mCU7kmSnWTJxDIzj4v36bp0tPyaM497q7lM2Ssob1P1VFG++vhmXToemf6XS&#10;WywOf+bv/4//cwNWkKw+R/5PjrVVkXxGEho6rFHaZzgnSchnFsjnHrW6SR1SZmYIOd/7sBWGJIbD&#10;dx+GWqwmC5rJ4kc9mQ4r+s1athBiXMwwmqw/31Fc68xBvBjaDVfXg6mdd5W+9JpveSoA9B080IjH&#10;lJvRoKPRviSndMxiKA7GAV+5VBDouWCB6wp5Ex7+4k0PApMVTkrEXJX+JSTeEhbckuK8q3dflGMH&#10;iO+avnhbBIOuMUa2Ss1R2T+joiso28CINcKMBxDkiBQ9BbWUa1g+ZjP0FXyd2Gmm7oIpzUGUltFh&#10;jtfYE+nAC7bR3JnqRC+SBMHSJ2moCVBGY8OKXeZyTl7ntlr+AQAA//8DAFBLAwQUAAYACAAAACEA&#10;0iJxQdsAAAAEAQAADwAAAGRycy9kb3ducmV2LnhtbEyPQWvCQBCF74X+h2UK3upuqi2SZiMirScp&#10;VAultzE7JsHsbMiuSfz3XXuplwePN7z3TbYcbSN66nztWEMyVSCIC2dqLjV87d8fFyB8QDbYOCYN&#10;F/KwzO/vMkyNG/iT+l0oRSxhn6KGKoQ2ldIXFVn0U9cSx+zoOosh2q6UpsMhlttGPin1Ii3WHBcq&#10;bGldUXHana2GzYDDapa89dvTcX352T9/fG8T0nryMK5eQQQaw/8xXPEjOuSR6eDObLxoNMRHwp9e&#10;M7VQ0R80zBXIPJO38PkvAAAA//8DAFBLAQItABQABgAIAAAAIQC2gziS/gAAAOEBAAATAAAAAAAA&#10;AAAAAAAAAAAAAABbQ29udGVudF9UeXBlc10ueG1sUEsBAi0AFAAGAAgAAAAhADj9If/WAAAAlAEA&#10;AAsAAAAAAAAAAAAAAAAALwEAAF9yZWxzLy5yZWxzUEsBAi0AFAAGAAgAAAAhAA0pkBNFAgAAngUA&#10;AA4AAAAAAAAAAAAAAAAALgIAAGRycy9lMm9Eb2MueG1sUEsBAi0AFAAGAAgAAAAhANIicUHbAAAA&#10;BAEAAA8AAAAAAAAAAAAAAAAAnwQAAGRycy9kb3ducmV2LnhtbFBLBQYAAAAABAAEAPMAAACnBQAA&#10;AAA=&#10;">
                <v:shape id="Shape 93" o:spid="_x0000_s1027" style="position:absolute;width:68580;height:0;visibility:visible;mso-wrap-style:square;v-text-anchor:top" coordsize="685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vsxAAAANsAAAAPAAAAZHJzL2Rvd25yZXYueG1sRI9BawIx&#10;FITvBf9DeEJvNavSYlejiEXqodiuiufH5rm7uHlJk6jbf98IhR6HmfmGmS0604or+dBYVjAcZCCI&#10;S6sbrhQc9uunCYgQkTW2lknBDwVYzHsPM8y1vXFB112sRIJwyFFBHaPLpQxlTQbDwDri5J2sNxiT&#10;9JXUHm8Jblo5yrIXabDhtFCjo1VN5Xl3MQrGx4/vr+LTVRf/tp08m5I3a/eu1GO/W05BROrif/iv&#10;vdEKXsdw/5J+gJz/AgAA//8DAFBLAQItABQABgAIAAAAIQDb4fbL7gAAAIUBAAATAAAAAAAAAAAA&#10;AAAAAAAAAABbQ29udGVudF9UeXBlc10ueG1sUEsBAi0AFAAGAAgAAAAhAFr0LFu/AAAAFQEAAAsA&#10;AAAAAAAAAAAAAAAAHwEAAF9yZWxzLy5yZWxzUEsBAi0AFAAGAAgAAAAhAEVRy+zEAAAA2wAAAA8A&#10;AAAAAAAAAAAAAAAABwIAAGRycy9kb3ducmV2LnhtbFBLBQYAAAAAAwADALcAAAD4AgAAAAA=&#10;" path="m,l6858013,e" filled="f" strokeweight="2pt">
                  <v:path arrowok="t" textboxrect="0,0,6858013,0"/>
                </v:shape>
                <w10:anchorlock/>
              </v:group>
            </w:pict>
          </mc:Fallback>
        </mc:AlternateContent>
      </w:r>
    </w:p>
    <w:p w14:paraId="33007AA9" w14:textId="3CDD06B6" w:rsidR="00F961E8" w:rsidRDefault="002911EB" w:rsidP="00201692">
      <w:pPr>
        <w:spacing w:after="0" w:line="240" w:lineRule="auto"/>
        <w:ind w:left="57" w:hanging="14"/>
        <w:rPr>
          <w:b/>
          <w:color w:val="72246C"/>
          <w:sz w:val="28"/>
        </w:rPr>
      </w:pPr>
      <w:r w:rsidRPr="002911EB">
        <w:rPr>
          <w:b/>
          <w:color w:val="72246C"/>
          <w:sz w:val="28"/>
        </w:rPr>
        <w:t xml:space="preserve">Tips: Completing </w:t>
      </w:r>
      <w:r w:rsidR="000F1C10">
        <w:rPr>
          <w:b/>
          <w:color w:val="72246C"/>
          <w:sz w:val="28"/>
        </w:rPr>
        <w:t>Peer Review e</w:t>
      </w:r>
      <w:r w:rsidRPr="002911EB">
        <w:rPr>
          <w:b/>
          <w:color w:val="72246C"/>
          <w:sz w:val="28"/>
        </w:rPr>
        <w:t xml:space="preserve">ngagement </w:t>
      </w:r>
      <w:r w:rsidR="000F1C10">
        <w:rPr>
          <w:b/>
          <w:color w:val="72246C"/>
          <w:sz w:val="28"/>
        </w:rPr>
        <w:t>p</w:t>
      </w:r>
      <w:r w:rsidRPr="002911EB">
        <w:rPr>
          <w:b/>
          <w:color w:val="72246C"/>
          <w:sz w:val="28"/>
        </w:rPr>
        <w:t xml:space="preserve">rofiles </w:t>
      </w:r>
    </w:p>
    <w:p w14:paraId="1E58D744" w14:textId="74E96373" w:rsidR="002911EB" w:rsidRDefault="00B1559B" w:rsidP="00A376F5">
      <w:pPr>
        <w:spacing w:after="120"/>
        <w:ind w:left="57" w:hanging="14"/>
        <w:rPr>
          <w:szCs w:val="22"/>
        </w:rPr>
      </w:pPr>
      <w:r>
        <w:rPr>
          <w:noProof/>
        </w:rPr>
        <w:drawing>
          <wp:anchor distT="0" distB="0" distL="114300" distR="114300" simplePos="0" relativeHeight="251663360" behindDoc="1" locked="0" layoutInCell="1" allowOverlap="1" wp14:anchorId="09720C64" wp14:editId="1B3A483C">
            <wp:simplePos x="0" y="0"/>
            <wp:positionH relativeFrom="column">
              <wp:posOffset>93980</wp:posOffset>
            </wp:positionH>
            <wp:positionV relativeFrom="paragraph">
              <wp:posOffset>13970</wp:posOffset>
            </wp:positionV>
            <wp:extent cx="1144905" cy="1412875"/>
            <wp:effectExtent l="0" t="0" r="0" b="0"/>
            <wp:wrapTight wrapText="bothSides">
              <wp:wrapPolygon edited="0">
                <wp:start x="0" y="0"/>
                <wp:lineTo x="0" y="21260"/>
                <wp:lineTo x="21205" y="21260"/>
                <wp:lineTo x="21205" y="0"/>
                <wp:lineTo x="0" y="0"/>
              </wp:wrapPolygon>
            </wp:wrapTight>
            <wp:docPr id="96" name="Picture 1" descr="A pencil shavings and shavings&#10;&#10;Description automatically generated"/>
            <wp:cNvGraphicFramePr/>
            <a:graphic xmlns:a="http://schemas.openxmlformats.org/drawingml/2006/main">
              <a:graphicData uri="http://schemas.openxmlformats.org/drawingml/2006/picture">
                <pic:pic xmlns:pic="http://schemas.openxmlformats.org/drawingml/2006/picture">
                  <pic:nvPicPr>
                    <pic:cNvPr id="96" name="Picture 1" descr="A pencil shavings and shavings&#10;&#10;Description automatically generated"/>
                    <pic:cNvPicPr/>
                  </pic:nvPicPr>
                  <pic:blipFill>
                    <a:blip r:embed="rId9"/>
                    <a:stretch>
                      <a:fillRect/>
                    </a:stretch>
                  </pic:blipFill>
                  <pic:spPr>
                    <a:xfrm>
                      <a:off x="0" y="0"/>
                      <a:ext cx="1144905" cy="1412875"/>
                    </a:xfrm>
                    <a:prstGeom prst="rect">
                      <a:avLst/>
                    </a:prstGeom>
                  </pic:spPr>
                </pic:pic>
              </a:graphicData>
            </a:graphic>
            <wp14:sizeRelH relativeFrom="margin">
              <wp14:pctWidth>0</wp14:pctWidth>
            </wp14:sizeRelH>
            <wp14:sizeRelV relativeFrom="margin">
              <wp14:pctHeight>0</wp14:pctHeight>
            </wp14:sizeRelV>
          </wp:anchor>
        </w:drawing>
      </w:r>
      <w:r w:rsidR="002911EB">
        <w:rPr>
          <w:szCs w:val="22"/>
        </w:rPr>
        <w:t xml:space="preserve">Completing engagement profiles for the engagements selected in your firm’s peer review is a critically important step which gives the reviewer an outline of key engagement details, such as non-attest services provided, risk assessment information, and the experience of the audit team. Peer reviewers use this information to help plan for the review of the engagement, that in part can help identify key audit areas or potential risks of material misstatement. </w:t>
      </w:r>
    </w:p>
    <w:p w14:paraId="304764E1" w14:textId="634A9557" w:rsidR="002911EB" w:rsidRPr="002911EB" w:rsidRDefault="00A376F5" w:rsidP="002911EB">
      <w:pPr>
        <w:spacing w:after="120"/>
        <w:rPr>
          <w:szCs w:val="22"/>
        </w:rPr>
      </w:pPr>
      <w:r>
        <w:rPr>
          <w:szCs w:val="22"/>
        </w:rPr>
        <w:t xml:space="preserve">You should carefully review the </w:t>
      </w:r>
      <w:r w:rsidR="002911EB">
        <w:rPr>
          <w:szCs w:val="22"/>
        </w:rPr>
        <w:t xml:space="preserve">information in </w:t>
      </w:r>
      <w:r w:rsidR="00821A11">
        <w:rPr>
          <w:szCs w:val="22"/>
        </w:rPr>
        <w:t xml:space="preserve">your </w:t>
      </w:r>
      <w:r w:rsidR="002911EB">
        <w:rPr>
          <w:szCs w:val="22"/>
        </w:rPr>
        <w:t xml:space="preserve">profile </w:t>
      </w:r>
      <w:r>
        <w:rPr>
          <w:szCs w:val="22"/>
        </w:rPr>
        <w:t>before</w:t>
      </w:r>
      <w:r w:rsidR="002911EB">
        <w:rPr>
          <w:szCs w:val="22"/>
        </w:rPr>
        <w:t xml:space="preserve"> submitting it</w:t>
      </w:r>
      <w:r w:rsidR="002911EB" w:rsidRPr="00E523FA">
        <w:rPr>
          <w:szCs w:val="22"/>
        </w:rPr>
        <w:t xml:space="preserve"> to the peer reviewer</w:t>
      </w:r>
      <w:r>
        <w:rPr>
          <w:szCs w:val="22"/>
        </w:rPr>
        <w:t>,</w:t>
      </w:r>
      <w:r w:rsidR="002911EB">
        <w:rPr>
          <w:szCs w:val="22"/>
        </w:rPr>
        <w:t xml:space="preserve"> as an accurately and comprehensively completed profile can help reduce questions from the peer reviewer and allow the</w:t>
      </w:r>
      <w:r>
        <w:rPr>
          <w:szCs w:val="22"/>
        </w:rPr>
        <w:t>m</w:t>
      </w:r>
      <w:r w:rsidR="002911EB">
        <w:rPr>
          <w:szCs w:val="22"/>
        </w:rPr>
        <w:t xml:space="preserve"> to focus on the important areas of peer review.</w:t>
      </w:r>
      <w:r w:rsidR="002911EB" w:rsidRPr="00E523FA">
        <w:rPr>
          <w:szCs w:val="22"/>
        </w:rPr>
        <w:t xml:space="preserve"> </w:t>
      </w:r>
      <w:r w:rsidR="002911EB">
        <w:rPr>
          <w:szCs w:val="22"/>
        </w:rPr>
        <w:t>Here are a few tips when completing and reviewing engagement profiles:</w:t>
      </w:r>
    </w:p>
    <w:p w14:paraId="59A6F100" w14:textId="338759D4" w:rsidR="00825BEF" w:rsidRPr="00825BEF" w:rsidRDefault="002911EB" w:rsidP="00A376F5">
      <w:pPr>
        <w:pStyle w:val="ListParagraph"/>
        <w:numPr>
          <w:ilvl w:val="0"/>
          <w:numId w:val="8"/>
        </w:numPr>
        <w:spacing w:after="120" w:line="271" w:lineRule="auto"/>
        <w:jc w:val="left"/>
        <w:rPr>
          <w:rFonts w:ascii="Arial" w:hAnsi="Arial" w:cs="Arial"/>
          <w:sz w:val="22"/>
          <w:szCs w:val="22"/>
        </w:rPr>
      </w:pPr>
      <w:r w:rsidRPr="00C952E9">
        <w:rPr>
          <w:rFonts w:ascii="Arial" w:hAnsi="Arial" w:cs="Arial"/>
          <w:sz w:val="22"/>
          <w:szCs w:val="22"/>
        </w:rPr>
        <w:t>Engagement profiles should be completed</w:t>
      </w:r>
      <w:r>
        <w:rPr>
          <w:rFonts w:ascii="Arial" w:hAnsi="Arial" w:cs="Arial"/>
          <w:sz w:val="22"/>
          <w:szCs w:val="22"/>
        </w:rPr>
        <w:t xml:space="preserve"> </w:t>
      </w:r>
      <w:r w:rsidRPr="00C952E9">
        <w:rPr>
          <w:rFonts w:ascii="Arial" w:hAnsi="Arial" w:cs="Arial"/>
          <w:sz w:val="22"/>
          <w:szCs w:val="22"/>
        </w:rPr>
        <w:t>by someone with sufficient knowledge of the engagement (such as the engagement manager or partner)</w:t>
      </w:r>
      <w:r>
        <w:rPr>
          <w:rFonts w:ascii="Arial" w:hAnsi="Arial" w:cs="Arial"/>
          <w:sz w:val="22"/>
          <w:szCs w:val="22"/>
        </w:rPr>
        <w:t>.</w:t>
      </w:r>
    </w:p>
    <w:p w14:paraId="30EE169B" w14:textId="40D10ACB" w:rsidR="002911EB" w:rsidRPr="002911EB" w:rsidRDefault="002911EB" w:rsidP="00A376F5">
      <w:pPr>
        <w:pStyle w:val="ListParagraph"/>
        <w:numPr>
          <w:ilvl w:val="0"/>
          <w:numId w:val="8"/>
        </w:numPr>
        <w:spacing w:after="120" w:line="271" w:lineRule="auto"/>
        <w:jc w:val="left"/>
        <w:rPr>
          <w:rFonts w:ascii="Arial" w:hAnsi="Arial" w:cs="Arial"/>
          <w:sz w:val="22"/>
          <w:szCs w:val="22"/>
        </w:rPr>
      </w:pPr>
      <w:r w:rsidRPr="00DC4418">
        <w:rPr>
          <w:rFonts w:ascii="Arial" w:hAnsi="Arial" w:cs="Arial"/>
          <w:sz w:val="22"/>
          <w:szCs w:val="22"/>
        </w:rPr>
        <w:t>Profiles can be completed shortly after the firm receives the engagement selections from the peer reviewer. Giving your firm ample time to complete the profiles will help reduce any errors, inconsistent or insufficient information</w:t>
      </w:r>
      <w:r>
        <w:rPr>
          <w:rFonts w:ascii="Arial" w:hAnsi="Arial" w:cs="Arial"/>
          <w:sz w:val="22"/>
          <w:szCs w:val="22"/>
        </w:rPr>
        <w:t>.</w:t>
      </w:r>
    </w:p>
    <w:p w14:paraId="38E61273" w14:textId="55C8F349" w:rsidR="002911EB" w:rsidRPr="00337E94" w:rsidRDefault="002911EB" w:rsidP="00A376F5">
      <w:pPr>
        <w:pStyle w:val="ListParagraph"/>
        <w:numPr>
          <w:ilvl w:val="0"/>
          <w:numId w:val="8"/>
        </w:numPr>
        <w:spacing w:after="120" w:line="271" w:lineRule="auto"/>
        <w:contextualSpacing w:val="0"/>
        <w:jc w:val="left"/>
        <w:rPr>
          <w:rFonts w:ascii="Arial" w:hAnsi="Arial" w:cs="Arial"/>
          <w:sz w:val="22"/>
          <w:szCs w:val="22"/>
        </w:rPr>
      </w:pPr>
      <w:r>
        <w:rPr>
          <w:rFonts w:ascii="Arial" w:hAnsi="Arial" w:cs="Arial"/>
          <w:sz w:val="22"/>
          <w:szCs w:val="22"/>
        </w:rPr>
        <w:t xml:space="preserve">For engagements subject </w:t>
      </w:r>
      <w:r w:rsidRPr="00337E94">
        <w:rPr>
          <w:rFonts w:ascii="Arial" w:hAnsi="Arial" w:cs="Arial"/>
          <w:sz w:val="22"/>
          <w:szCs w:val="22"/>
        </w:rPr>
        <w:t xml:space="preserve">to </w:t>
      </w:r>
      <w:r w:rsidRPr="00246D43">
        <w:rPr>
          <w:rFonts w:ascii="Arial" w:hAnsi="Arial" w:cs="Arial"/>
          <w:i/>
          <w:iCs/>
          <w:sz w:val="22"/>
          <w:szCs w:val="22"/>
        </w:rPr>
        <w:t>Government Auditing Standards</w:t>
      </w:r>
      <w:r w:rsidR="007E2828">
        <w:rPr>
          <w:rFonts w:ascii="Arial" w:hAnsi="Arial" w:cs="Arial"/>
          <w:sz w:val="22"/>
          <w:szCs w:val="22"/>
        </w:rPr>
        <w:t>,</w:t>
      </w:r>
      <w:r w:rsidRPr="00337E94">
        <w:rPr>
          <w:rFonts w:ascii="Arial" w:hAnsi="Arial" w:cs="Arial"/>
          <w:sz w:val="22"/>
          <w:szCs w:val="22"/>
        </w:rPr>
        <w:t xml:space="preserve"> </w:t>
      </w:r>
      <w:r>
        <w:rPr>
          <w:rFonts w:ascii="Arial" w:hAnsi="Arial" w:cs="Arial"/>
          <w:sz w:val="22"/>
          <w:szCs w:val="22"/>
        </w:rPr>
        <w:t>ensure the following (as applicable):</w:t>
      </w:r>
    </w:p>
    <w:p w14:paraId="6D5E8CF5" w14:textId="3B15B563" w:rsidR="002911EB" w:rsidRDefault="002911EB" w:rsidP="00A376F5">
      <w:pPr>
        <w:pStyle w:val="ListParagraph"/>
        <w:numPr>
          <w:ilvl w:val="1"/>
          <w:numId w:val="8"/>
        </w:numPr>
        <w:spacing w:after="120" w:line="271" w:lineRule="auto"/>
        <w:jc w:val="left"/>
        <w:rPr>
          <w:rFonts w:ascii="Arial" w:hAnsi="Arial" w:cs="Arial"/>
          <w:sz w:val="22"/>
          <w:szCs w:val="22"/>
        </w:rPr>
      </w:pPr>
      <w:r>
        <w:rPr>
          <w:rFonts w:ascii="Arial" w:hAnsi="Arial" w:cs="Arial"/>
          <w:sz w:val="22"/>
          <w:szCs w:val="22"/>
        </w:rPr>
        <w:t>Provide d</w:t>
      </w:r>
      <w:r w:rsidRPr="00ED1E4C">
        <w:rPr>
          <w:rFonts w:ascii="Arial" w:hAnsi="Arial" w:cs="Arial"/>
          <w:sz w:val="22"/>
          <w:szCs w:val="22"/>
        </w:rPr>
        <w:t>etailed explanation</w:t>
      </w:r>
      <w:r>
        <w:rPr>
          <w:rFonts w:ascii="Arial" w:hAnsi="Arial" w:cs="Arial"/>
          <w:sz w:val="22"/>
          <w:szCs w:val="22"/>
        </w:rPr>
        <w:t>s</w:t>
      </w:r>
      <w:r w:rsidRPr="00ED1E4C">
        <w:rPr>
          <w:rFonts w:ascii="Arial" w:hAnsi="Arial" w:cs="Arial"/>
          <w:sz w:val="22"/>
          <w:szCs w:val="22"/>
        </w:rPr>
        <w:t xml:space="preserve"> on what the audit firm does to mitigate </w:t>
      </w:r>
      <w:r>
        <w:rPr>
          <w:rFonts w:ascii="Arial" w:hAnsi="Arial" w:cs="Arial"/>
          <w:sz w:val="22"/>
          <w:szCs w:val="22"/>
        </w:rPr>
        <w:t>any identified</w:t>
      </w:r>
      <w:r w:rsidRPr="00ED1E4C">
        <w:rPr>
          <w:rFonts w:ascii="Arial" w:hAnsi="Arial" w:cs="Arial"/>
          <w:sz w:val="22"/>
          <w:szCs w:val="22"/>
        </w:rPr>
        <w:t xml:space="preserve"> significant threat</w:t>
      </w:r>
      <w:r>
        <w:rPr>
          <w:rFonts w:ascii="Arial" w:hAnsi="Arial" w:cs="Arial"/>
          <w:sz w:val="22"/>
          <w:szCs w:val="22"/>
        </w:rPr>
        <w:t>s,</w:t>
      </w:r>
    </w:p>
    <w:p w14:paraId="5F528245" w14:textId="77777777" w:rsidR="002911EB" w:rsidRDefault="002911EB" w:rsidP="00A376F5">
      <w:pPr>
        <w:pStyle w:val="ListParagraph"/>
        <w:numPr>
          <w:ilvl w:val="1"/>
          <w:numId w:val="8"/>
        </w:numPr>
        <w:spacing w:after="120" w:line="271" w:lineRule="auto"/>
        <w:jc w:val="left"/>
        <w:rPr>
          <w:rFonts w:ascii="Arial" w:hAnsi="Arial" w:cs="Arial"/>
          <w:sz w:val="22"/>
          <w:szCs w:val="22"/>
        </w:rPr>
      </w:pPr>
      <w:r>
        <w:rPr>
          <w:rFonts w:ascii="Arial" w:hAnsi="Arial" w:cs="Arial"/>
          <w:sz w:val="22"/>
          <w:szCs w:val="22"/>
        </w:rPr>
        <w:t>Include c</w:t>
      </w:r>
      <w:r w:rsidRPr="00ED1E4C">
        <w:rPr>
          <w:rFonts w:ascii="Arial" w:hAnsi="Arial" w:cs="Arial"/>
          <w:sz w:val="22"/>
          <w:szCs w:val="22"/>
        </w:rPr>
        <w:t xml:space="preserve">lear documentation on the assessment of </w:t>
      </w:r>
      <w:r>
        <w:rPr>
          <w:rFonts w:ascii="Arial" w:hAnsi="Arial" w:cs="Arial"/>
          <w:sz w:val="22"/>
          <w:szCs w:val="22"/>
        </w:rPr>
        <w:t>skills, knowledge and experience</w:t>
      </w:r>
      <w:r w:rsidRPr="00ED1E4C">
        <w:rPr>
          <w:rFonts w:ascii="Arial" w:hAnsi="Arial" w:cs="Arial"/>
          <w:sz w:val="22"/>
          <w:szCs w:val="22"/>
        </w:rPr>
        <w:t xml:space="preserve"> of individuals designated to oversee nonaudit services</w:t>
      </w:r>
      <w:r>
        <w:rPr>
          <w:rFonts w:ascii="Arial" w:hAnsi="Arial" w:cs="Arial"/>
          <w:sz w:val="22"/>
          <w:szCs w:val="22"/>
        </w:rPr>
        <w:t>,</w:t>
      </w:r>
      <w:r w:rsidRPr="00ED1E4C">
        <w:rPr>
          <w:rFonts w:ascii="Arial" w:hAnsi="Arial" w:cs="Arial"/>
          <w:sz w:val="22"/>
          <w:szCs w:val="22"/>
        </w:rPr>
        <w:t xml:space="preserve"> </w:t>
      </w:r>
    </w:p>
    <w:p w14:paraId="7B5C873A" w14:textId="77777777" w:rsidR="002911EB" w:rsidRDefault="002911EB" w:rsidP="00A376F5">
      <w:pPr>
        <w:pStyle w:val="ListParagraph"/>
        <w:numPr>
          <w:ilvl w:val="1"/>
          <w:numId w:val="8"/>
        </w:numPr>
        <w:spacing w:after="120" w:line="271" w:lineRule="auto"/>
        <w:jc w:val="left"/>
        <w:rPr>
          <w:rFonts w:ascii="Arial" w:hAnsi="Arial" w:cs="Arial"/>
          <w:sz w:val="22"/>
          <w:szCs w:val="22"/>
        </w:rPr>
      </w:pPr>
      <w:r>
        <w:rPr>
          <w:rFonts w:ascii="Arial" w:hAnsi="Arial" w:cs="Arial"/>
          <w:sz w:val="22"/>
          <w:szCs w:val="22"/>
        </w:rPr>
        <w:t>Double check that the</w:t>
      </w:r>
      <w:r w:rsidRPr="00ED1E4C">
        <w:rPr>
          <w:rFonts w:ascii="Arial" w:hAnsi="Arial" w:cs="Arial"/>
          <w:sz w:val="22"/>
          <w:szCs w:val="22"/>
        </w:rPr>
        <w:t xml:space="preserve"> </w:t>
      </w:r>
      <w:r>
        <w:rPr>
          <w:rFonts w:ascii="Arial" w:hAnsi="Arial" w:cs="Arial"/>
          <w:sz w:val="22"/>
          <w:szCs w:val="22"/>
        </w:rPr>
        <w:t>m</w:t>
      </w:r>
      <w:r w:rsidRPr="00ED1E4C">
        <w:rPr>
          <w:rFonts w:ascii="Arial" w:hAnsi="Arial" w:cs="Arial"/>
          <w:sz w:val="22"/>
          <w:szCs w:val="22"/>
        </w:rPr>
        <w:t xml:space="preserve">ajor </w:t>
      </w:r>
      <w:r>
        <w:rPr>
          <w:rFonts w:ascii="Arial" w:hAnsi="Arial" w:cs="Arial"/>
          <w:sz w:val="22"/>
          <w:szCs w:val="22"/>
        </w:rPr>
        <w:t>p</w:t>
      </w:r>
      <w:r w:rsidRPr="00ED1E4C">
        <w:rPr>
          <w:rFonts w:ascii="Arial" w:hAnsi="Arial" w:cs="Arial"/>
          <w:sz w:val="22"/>
          <w:szCs w:val="22"/>
        </w:rPr>
        <w:t xml:space="preserve">rogram </w:t>
      </w:r>
      <w:r>
        <w:rPr>
          <w:rFonts w:ascii="Arial" w:hAnsi="Arial" w:cs="Arial"/>
          <w:sz w:val="22"/>
          <w:szCs w:val="22"/>
        </w:rPr>
        <w:t>d</w:t>
      </w:r>
      <w:r w:rsidRPr="00ED1E4C">
        <w:rPr>
          <w:rFonts w:ascii="Arial" w:hAnsi="Arial" w:cs="Arial"/>
          <w:sz w:val="22"/>
          <w:szCs w:val="22"/>
        </w:rPr>
        <w:t xml:space="preserve">etermination </w:t>
      </w:r>
      <w:r>
        <w:rPr>
          <w:rFonts w:ascii="Arial" w:hAnsi="Arial" w:cs="Arial"/>
          <w:sz w:val="22"/>
          <w:szCs w:val="22"/>
        </w:rPr>
        <w:t>w</w:t>
      </w:r>
      <w:r w:rsidRPr="00ED1E4C">
        <w:rPr>
          <w:rFonts w:ascii="Arial" w:hAnsi="Arial" w:cs="Arial"/>
          <w:sz w:val="22"/>
          <w:szCs w:val="22"/>
        </w:rPr>
        <w:t>orksheet is complete</w:t>
      </w:r>
      <w:r>
        <w:rPr>
          <w:rFonts w:ascii="Arial" w:hAnsi="Arial" w:cs="Arial"/>
          <w:sz w:val="22"/>
          <w:szCs w:val="22"/>
        </w:rPr>
        <w:t>,</w:t>
      </w:r>
      <w:r w:rsidRPr="00ED1E4C">
        <w:rPr>
          <w:rFonts w:ascii="Arial" w:hAnsi="Arial" w:cs="Arial"/>
          <w:sz w:val="22"/>
          <w:szCs w:val="22"/>
        </w:rPr>
        <w:t xml:space="preserve"> </w:t>
      </w:r>
    </w:p>
    <w:p w14:paraId="27BCA712" w14:textId="2325E297" w:rsidR="002911EB" w:rsidRDefault="002911EB" w:rsidP="00A376F5">
      <w:pPr>
        <w:pStyle w:val="ListParagraph"/>
        <w:numPr>
          <w:ilvl w:val="1"/>
          <w:numId w:val="8"/>
        </w:numPr>
        <w:spacing w:after="120" w:line="271" w:lineRule="auto"/>
        <w:jc w:val="left"/>
        <w:rPr>
          <w:rFonts w:ascii="Arial" w:hAnsi="Arial" w:cs="Arial"/>
          <w:sz w:val="22"/>
          <w:szCs w:val="22"/>
        </w:rPr>
      </w:pPr>
      <w:r>
        <w:rPr>
          <w:rFonts w:ascii="Arial" w:hAnsi="Arial" w:cs="Arial"/>
          <w:sz w:val="22"/>
          <w:szCs w:val="22"/>
        </w:rPr>
        <w:t>Respond to all questions</w:t>
      </w:r>
      <w:r w:rsidRPr="00525F23">
        <w:rPr>
          <w:rFonts w:ascii="Arial" w:hAnsi="Arial" w:cs="Arial"/>
          <w:sz w:val="22"/>
          <w:szCs w:val="22"/>
        </w:rPr>
        <w:t xml:space="preserve"> </w:t>
      </w:r>
      <w:r>
        <w:rPr>
          <w:rFonts w:ascii="Arial" w:hAnsi="Arial" w:cs="Arial"/>
          <w:sz w:val="22"/>
          <w:szCs w:val="22"/>
        </w:rPr>
        <w:t xml:space="preserve">related </w:t>
      </w:r>
      <w:r w:rsidRPr="00525F23">
        <w:rPr>
          <w:rFonts w:ascii="Arial" w:hAnsi="Arial" w:cs="Arial"/>
          <w:sz w:val="22"/>
          <w:szCs w:val="22"/>
        </w:rPr>
        <w:t>to the low-risk assessment of Type A program</w:t>
      </w:r>
      <w:r>
        <w:rPr>
          <w:rFonts w:ascii="Arial" w:hAnsi="Arial" w:cs="Arial"/>
          <w:sz w:val="22"/>
          <w:szCs w:val="22"/>
        </w:rPr>
        <w:t>s</w:t>
      </w:r>
      <w:r w:rsidRPr="00525F23">
        <w:rPr>
          <w:rFonts w:ascii="Arial" w:hAnsi="Arial" w:cs="Arial"/>
          <w:sz w:val="22"/>
          <w:szCs w:val="22"/>
        </w:rPr>
        <w:t xml:space="preserve"> or high-risk assessment of Type B program</w:t>
      </w:r>
      <w:r>
        <w:rPr>
          <w:rFonts w:ascii="Arial" w:hAnsi="Arial" w:cs="Arial"/>
          <w:sz w:val="22"/>
          <w:szCs w:val="22"/>
        </w:rPr>
        <w:t>s</w:t>
      </w:r>
      <w:r w:rsidR="00B1559B">
        <w:rPr>
          <w:rFonts w:ascii="Arial" w:hAnsi="Arial" w:cs="Arial"/>
          <w:sz w:val="22"/>
          <w:szCs w:val="22"/>
        </w:rPr>
        <w:t>,</w:t>
      </w:r>
    </w:p>
    <w:p w14:paraId="0B621FB4" w14:textId="6D3F951D" w:rsidR="002911EB" w:rsidRDefault="002911EB" w:rsidP="00A376F5">
      <w:pPr>
        <w:pStyle w:val="ListParagraph"/>
        <w:numPr>
          <w:ilvl w:val="1"/>
          <w:numId w:val="8"/>
        </w:numPr>
        <w:spacing w:after="120" w:line="271" w:lineRule="auto"/>
        <w:jc w:val="left"/>
        <w:rPr>
          <w:rFonts w:ascii="Arial" w:hAnsi="Arial" w:cs="Arial"/>
          <w:sz w:val="22"/>
          <w:szCs w:val="22"/>
        </w:rPr>
      </w:pPr>
      <w:r w:rsidRPr="00525F23">
        <w:rPr>
          <w:rFonts w:ascii="Arial" w:hAnsi="Arial" w:cs="Arial"/>
          <w:sz w:val="22"/>
          <w:szCs w:val="22"/>
        </w:rPr>
        <w:t xml:space="preserve">Check that the total amount shown for federal assistance expended agrees to the total on the </w:t>
      </w:r>
      <w:r>
        <w:rPr>
          <w:rFonts w:ascii="Arial" w:hAnsi="Arial" w:cs="Arial"/>
          <w:sz w:val="22"/>
          <w:szCs w:val="22"/>
        </w:rPr>
        <w:t>m</w:t>
      </w:r>
      <w:r w:rsidRPr="00525F23">
        <w:rPr>
          <w:rFonts w:ascii="Arial" w:hAnsi="Arial" w:cs="Arial"/>
          <w:sz w:val="22"/>
          <w:szCs w:val="22"/>
        </w:rPr>
        <w:t xml:space="preserve">ajor </w:t>
      </w:r>
      <w:r>
        <w:rPr>
          <w:rFonts w:ascii="Arial" w:hAnsi="Arial" w:cs="Arial"/>
          <w:sz w:val="22"/>
          <w:szCs w:val="22"/>
        </w:rPr>
        <w:t>p</w:t>
      </w:r>
      <w:r w:rsidRPr="00525F23">
        <w:rPr>
          <w:rFonts w:ascii="Arial" w:hAnsi="Arial" w:cs="Arial"/>
          <w:sz w:val="22"/>
          <w:szCs w:val="22"/>
        </w:rPr>
        <w:t xml:space="preserve">rogram </w:t>
      </w:r>
      <w:r>
        <w:rPr>
          <w:rFonts w:ascii="Arial" w:hAnsi="Arial" w:cs="Arial"/>
          <w:sz w:val="22"/>
          <w:szCs w:val="22"/>
        </w:rPr>
        <w:t>d</w:t>
      </w:r>
      <w:r w:rsidRPr="00525F23">
        <w:rPr>
          <w:rFonts w:ascii="Arial" w:hAnsi="Arial" w:cs="Arial"/>
          <w:sz w:val="22"/>
          <w:szCs w:val="22"/>
        </w:rPr>
        <w:t xml:space="preserve">etermination </w:t>
      </w:r>
      <w:r>
        <w:rPr>
          <w:rFonts w:ascii="Arial" w:hAnsi="Arial" w:cs="Arial"/>
          <w:sz w:val="22"/>
          <w:szCs w:val="22"/>
        </w:rPr>
        <w:t>w</w:t>
      </w:r>
      <w:r w:rsidRPr="00525F23">
        <w:rPr>
          <w:rFonts w:ascii="Arial" w:hAnsi="Arial" w:cs="Arial"/>
          <w:sz w:val="22"/>
          <w:szCs w:val="22"/>
        </w:rPr>
        <w:t>orksheet</w:t>
      </w:r>
      <w:r w:rsidR="00B1559B">
        <w:rPr>
          <w:rFonts w:ascii="Arial" w:hAnsi="Arial" w:cs="Arial"/>
          <w:sz w:val="22"/>
          <w:szCs w:val="22"/>
        </w:rPr>
        <w:t>,</w:t>
      </w:r>
    </w:p>
    <w:p w14:paraId="4E66FEC7" w14:textId="38991ED3" w:rsidR="002911EB" w:rsidRPr="00246D43" w:rsidRDefault="002911EB" w:rsidP="00A376F5">
      <w:pPr>
        <w:pStyle w:val="ListParagraph"/>
        <w:numPr>
          <w:ilvl w:val="1"/>
          <w:numId w:val="8"/>
        </w:numPr>
        <w:spacing w:after="120" w:line="271" w:lineRule="auto"/>
        <w:jc w:val="left"/>
        <w:rPr>
          <w:rFonts w:ascii="Arial" w:hAnsi="Arial" w:cs="Arial"/>
          <w:sz w:val="22"/>
          <w:szCs w:val="22"/>
        </w:rPr>
      </w:pPr>
      <w:r>
        <w:rPr>
          <w:rFonts w:ascii="Arial" w:hAnsi="Arial" w:cs="Arial"/>
          <w:sz w:val="22"/>
          <w:szCs w:val="22"/>
        </w:rPr>
        <w:t>Check that program clustering wa</w:t>
      </w:r>
      <w:r w:rsidRPr="00246D43">
        <w:rPr>
          <w:rFonts w:ascii="Arial" w:hAnsi="Arial" w:cs="Arial"/>
          <w:sz w:val="22"/>
          <w:szCs w:val="22"/>
        </w:rPr>
        <w:t>s done correctly; engage assistance if needed</w:t>
      </w:r>
      <w:r w:rsidR="00B1559B">
        <w:rPr>
          <w:rFonts w:ascii="Arial" w:hAnsi="Arial" w:cs="Arial"/>
          <w:sz w:val="22"/>
          <w:szCs w:val="22"/>
        </w:rPr>
        <w:t>, and</w:t>
      </w:r>
    </w:p>
    <w:p w14:paraId="6048EF95" w14:textId="65405BCB" w:rsidR="002911EB" w:rsidRDefault="002911EB" w:rsidP="00A376F5">
      <w:pPr>
        <w:pStyle w:val="ListParagraph"/>
        <w:numPr>
          <w:ilvl w:val="1"/>
          <w:numId w:val="8"/>
        </w:numPr>
        <w:spacing w:after="120" w:line="271" w:lineRule="auto"/>
        <w:jc w:val="left"/>
        <w:rPr>
          <w:rFonts w:ascii="Arial" w:hAnsi="Arial" w:cs="Arial"/>
          <w:sz w:val="22"/>
          <w:szCs w:val="22"/>
        </w:rPr>
      </w:pPr>
      <w:r>
        <w:rPr>
          <w:rFonts w:ascii="Arial" w:hAnsi="Arial" w:cs="Arial"/>
          <w:sz w:val="22"/>
          <w:szCs w:val="22"/>
        </w:rPr>
        <w:t>N</w:t>
      </w:r>
      <w:r w:rsidRPr="00246D43">
        <w:rPr>
          <w:rFonts w:ascii="Arial" w:hAnsi="Arial" w:cs="Arial"/>
          <w:sz w:val="22"/>
          <w:szCs w:val="22"/>
        </w:rPr>
        <w:t>ot</w:t>
      </w:r>
      <w:r>
        <w:rPr>
          <w:rFonts w:ascii="Arial" w:hAnsi="Arial" w:cs="Arial"/>
          <w:sz w:val="22"/>
          <w:szCs w:val="22"/>
        </w:rPr>
        <w:t xml:space="preserve"> </w:t>
      </w:r>
      <w:proofErr w:type="gramStart"/>
      <w:r>
        <w:rPr>
          <w:rFonts w:ascii="Arial" w:hAnsi="Arial" w:cs="Arial"/>
          <w:sz w:val="22"/>
          <w:szCs w:val="22"/>
        </w:rPr>
        <w:t>use</w:t>
      </w:r>
      <w:proofErr w:type="gramEnd"/>
      <w:r>
        <w:rPr>
          <w:rFonts w:ascii="Arial" w:hAnsi="Arial" w:cs="Arial"/>
          <w:sz w:val="22"/>
          <w:szCs w:val="22"/>
        </w:rPr>
        <w:t xml:space="preserve"> practice aids</w:t>
      </w:r>
      <w:r w:rsidRPr="00246D43">
        <w:rPr>
          <w:rFonts w:ascii="Arial" w:hAnsi="Arial" w:cs="Arial"/>
          <w:sz w:val="22"/>
          <w:szCs w:val="22"/>
        </w:rPr>
        <w:t xml:space="preserve"> as a final response to profile questions. </w:t>
      </w:r>
    </w:p>
    <w:p w14:paraId="75E1B349" w14:textId="710E5E19" w:rsidR="002911EB" w:rsidRPr="002911EB" w:rsidRDefault="002911EB" w:rsidP="00A376F5">
      <w:pPr>
        <w:pStyle w:val="ListParagraph"/>
        <w:numPr>
          <w:ilvl w:val="2"/>
          <w:numId w:val="8"/>
        </w:numPr>
        <w:spacing w:after="120" w:line="271" w:lineRule="auto"/>
        <w:jc w:val="left"/>
        <w:rPr>
          <w:rFonts w:ascii="Arial" w:hAnsi="Arial" w:cs="Arial"/>
          <w:sz w:val="22"/>
          <w:szCs w:val="22"/>
        </w:rPr>
      </w:pPr>
      <w:r w:rsidRPr="00DC4418">
        <w:rPr>
          <w:rFonts w:ascii="Arial" w:hAnsi="Arial" w:cs="Arial"/>
          <w:sz w:val="22"/>
          <w:szCs w:val="22"/>
        </w:rPr>
        <w:t xml:space="preserve">While the practice aids do provide helpful documentation, they do not include all details needed for reviewers to assess the </w:t>
      </w:r>
      <w:r w:rsidRPr="00DC4418">
        <w:rPr>
          <w:rFonts w:ascii="Arial" w:hAnsi="Arial" w:cs="Arial"/>
          <w:i/>
          <w:iCs/>
          <w:sz w:val="22"/>
          <w:szCs w:val="22"/>
        </w:rPr>
        <w:t>GAS</w:t>
      </w:r>
      <w:r w:rsidRPr="00DC4418">
        <w:rPr>
          <w:rFonts w:ascii="Arial" w:hAnsi="Arial" w:cs="Arial"/>
          <w:sz w:val="22"/>
          <w:szCs w:val="22"/>
        </w:rPr>
        <w:t xml:space="preserve"> engagement. </w:t>
      </w:r>
    </w:p>
    <w:p w14:paraId="6EA7DF5E" w14:textId="77777777" w:rsidR="002911EB" w:rsidRDefault="002911EB" w:rsidP="00A376F5">
      <w:pPr>
        <w:pStyle w:val="ListParagraph"/>
        <w:numPr>
          <w:ilvl w:val="0"/>
          <w:numId w:val="8"/>
        </w:numPr>
        <w:spacing w:after="120" w:line="271" w:lineRule="auto"/>
        <w:jc w:val="left"/>
        <w:rPr>
          <w:rFonts w:ascii="Arial" w:hAnsi="Arial" w:cs="Arial"/>
          <w:sz w:val="22"/>
          <w:szCs w:val="22"/>
        </w:rPr>
      </w:pPr>
      <w:r>
        <w:rPr>
          <w:rFonts w:ascii="Arial" w:hAnsi="Arial" w:cs="Arial"/>
          <w:sz w:val="22"/>
          <w:szCs w:val="22"/>
        </w:rPr>
        <w:t xml:space="preserve">In general, your responses should include detailed answers to the questions and components thereof versus workpaper references. </w:t>
      </w:r>
    </w:p>
    <w:p w14:paraId="57F6D0B0" w14:textId="404DA40F" w:rsidR="00DA0B68" w:rsidRDefault="00F252DA" w:rsidP="00AB0743">
      <w:pPr>
        <w:pStyle w:val="Heading2"/>
        <w:ind w:left="43" w:firstLine="0"/>
      </w:pPr>
      <w:bookmarkStart w:id="0" w:name="_Hlk166156617"/>
      <w:r w:rsidRPr="00F252DA">
        <w:rPr>
          <w:b/>
          <w:i w:val="0"/>
          <w:sz w:val="28"/>
        </w:rPr>
        <w:lastRenderedPageBreak/>
        <w:t xml:space="preserve">SOC 2® Examination </w:t>
      </w:r>
      <w:r w:rsidR="000F1C10">
        <w:rPr>
          <w:b/>
          <w:i w:val="0"/>
          <w:sz w:val="28"/>
        </w:rPr>
        <w:t>e</w:t>
      </w:r>
      <w:r w:rsidRPr="00E6061D">
        <w:rPr>
          <w:b/>
          <w:i w:val="0"/>
          <w:sz w:val="28"/>
        </w:rPr>
        <w:t>ngagements</w:t>
      </w:r>
      <w:r w:rsidRPr="00F252DA">
        <w:rPr>
          <w:b/>
          <w:i w:val="0"/>
          <w:sz w:val="28"/>
        </w:rPr>
        <w:t xml:space="preserve"> </w:t>
      </w:r>
    </w:p>
    <w:bookmarkEnd w:id="0"/>
    <w:p w14:paraId="54B5551E" w14:textId="3C9A55EF" w:rsidR="00F252DA" w:rsidRDefault="00F252DA" w:rsidP="00F252DA">
      <w:pPr>
        <w:pStyle w:val="Default"/>
        <w:spacing w:after="120"/>
        <w:ind w:left="43"/>
        <w:rPr>
          <w:color w:val="auto"/>
          <w:sz w:val="22"/>
          <w:szCs w:val="22"/>
        </w:rPr>
      </w:pPr>
      <w:r>
        <w:rPr>
          <w:sz w:val="22"/>
          <w:szCs w:val="22"/>
        </w:rPr>
        <w:t xml:space="preserve">The </w:t>
      </w:r>
      <w:hyperlink r:id="rId10" w:history="1">
        <w:r w:rsidRPr="001D6C50">
          <w:rPr>
            <w:rStyle w:val="Hyperlink"/>
            <w:sz w:val="22"/>
            <w:szCs w:val="22"/>
          </w:rPr>
          <w:t xml:space="preserve">December 2022 </w:t>
        </w:r>
        <w:r w:rsidR="00221A24" w:rsidRPr="001D6C50">
          <w:rPr>
            <w:rStyle w:val="Hyperlink"/>
            <w:sz w:val="22"/>
            <w:szCs w:val="22"/>
          </w:rPr>
          <w:t xml:space="preserve">Peer </w:t>
        </w:r>
        <w:r w:rsidRPr="001D6C50">
          <w:rPr>
            <w:rStyle w:val="Hyperlink"/>
            <w:sz w:val="22"/>
            <w:szCs w:val="22"/>
          </w:rPr>
          <w:t>Reviewer alert</w:t>
        </w:r>
      </w:hyperlink>
      <w:r>
        <w:rPr>
          <w:sz w:val="22"/>
          <w:szCs w:val="22"/>
        </w:rPr>
        <w:t xml:space="preserve"> discussed unique risks to consider when selecting SOC engagements for review. </w:t>
      </w:r>
      <w:r>
        <w:rPr>
          <w:color w:val="auto"/>
          <w:sz w:val="22"/>
          <w:szCs w:val="22"/>
        </w:rPr>
        <w:t xml:space="preserve">Similarly, those risks impact review of the engagements themselves. </w:t>
      </w:r>
    </w:p>
    <w:p w14:paraId="3F3AAB66" w14:textId="4E383C44" w:rsidR="00F252DA" w:rsidRDefault="00F252DA" w:rsidP="00F252DA">
      <w:pPr>
        <w:pStyle w:val="Default"/>
        <w:spacing w:after="120"/>
        <w:ind w:left="43"/>
        <w:rPr>
          <w:sz w:val="22"/>
          <w:szCs w:val="22"/>
        </w:rPr>
      </w:pPr>
      <w:r>
        <w:rPr>
          <w:sz w:val="22"/>
          <w:szCs w:val="22"/>
        </w:rPr>
        <w:t xml:space="preserve">The following discusses how the new SOC 2 peer review checklist (the checklist) can be used to consider the risks identified in the </w:t>
      </w:r>
      <w:hyperlink r:id="rId11" w:history="1">
        <w:r w:rsidRPr="001D6C50">
          <w:rPr>
            <w:rStyle w:val="Hyperlink"/>
            <w:sz w:val="22"/>
            <w:szCs w:val="22"/>
          </w:rPr>
          <w:t xml:space="preserve">December 2022 </w:t>
        </w:r>
        <w:r w:rsidR="00221A24" w:rsidRPr="001D6C50">
          <w:rPr>
            <w:rStyle w:val="Hyperlink"/>
            <w:sz w:val="22"/>
            <w:szCs w:val="22"/>
          </w:rPr>
          <w:t xml:space="preserve">Peer </w:t>
        </w:r>
        <w:r w:rsidRPr="001D6C50">
          <w:rPr>
            <w:rStyle w:val="Hyperlink"/>
            <w:sz w:val="22"/>
            <w:szCs w:val="22"/>
          </w:rPr>
          <w:t>Reviewer alert</w:t>
        </w:r>
      </w:hyperlink>
      <w:r>
        <w:rPr>
          <w:sz w:val="22"/>
          <w:szCs w:val="22"/>
        </w:rPr>
        <w:t xml:space="preserve"> at the engagement level.</w:t>
      </w:r>
      <w:r w:rsidR="002138F9" w:rsidRPr="002138F9">
        <w:rPr>
          <w:rFonts w:ascii="Calibri" w:eastAsia="Calibri" w:hAnsi="Calibri" w:cs="Calibri"/>
          <w:noProof/>
        </w:rPr>
        <w:t xml:space="preserve"> </w:t>
      </w:r>
    </w:p>
    <w:p w14:paraId="2B1647A0" w14:textId="1D90F4F5" w:rsidR="00F252DA" w:rsidRDefault="00F252DA" w:rsidP="00F252DA">
      <w:pPr>
        <w:pStyle w:val="Default"/>
        <w:spacing w:after="120"/>
        <w:ind w:left="43"/>
        <w:rPr>
          <w:b/>
          <w:bCs/>
          <w:color w:val="auto"/>
          <w:sz w:val="22"/>
          <w:szCs w:val="22"/>
        </w:rPr>
      </w:pPr>
      <w:r>
        <w:rPr>
          <w:b/>
          <w:bCs/>
          <w:sz w:val="22"/>
          <w:szCs w:val="22"/>
        </w:rPr>
        <w:t xml:space="preserve">Risk: </w:t>
      </w:r>
      <w:r w:rsidRPr="00035741">
        <w:rPr>
          <w:b/>
          <w:bCs/>
          <w:color w:val="auto"/>
          <w:sz w:val="22"/>
          <w:szCs w:val="22"/>
        </w:rPr>
        <w:t xml:space="preserve">Service auditors may over rely on the information provided by the SOC 2 tools without adequately testing whether the tool operates as intended </w:t>
      </w:r>
      <w:r w:rsidR="00545167" w:rsidRPr="00035741">
        <w:rPr>
          <w:b/>
          <w:bCs/>
          <w:color w:val="auto"/>
          <w:sz w:val="22"/>
          <w:szCs w:val="22"/>
        </w:rPr>
        <w:t>and whether</w:t>
      </w:r>
      <w:r w:rsidRPr="00035741">
        <w:rPr>
          <w:b/>
          <w:bCs/>
          <w:color w:val="auto"/>
          <w:sz w:val="22"/>
          <w:szCs w:val="22"/>
        </w:rPr>
        <w:t xml:space="preserve"> the information is complete and accurate for their purposes.</w:t>
      </w:r>
    </w:p>
    <w:tbl>
      <w:tblPr>
        <w:tblpPr w:leftFromText="180" w:rightFromText="180" w:vertAnchor="text" w:horzAnchor="page" w:tblpX="6600" w:tblpY="-42"/>
        <w:tblW w:w="0" w:type="auto"/>
        <w:tblBorders>
          <w:top w:val="single" w:sz="18" w:space="0" w:color="auto"/>
          <w:left w:val="single" w:sz="18" w:space="0" w:color="auto"/>
          <w:bottom w:val="single" w:sz="18" w:space="0" w:color="auto"/>
          <w:right w:val="single" w:sz="4" w:space="0" w:color="auto"/>
        </w:tblBorders>
        <w:tblLook w:val="0000" w:firstRow="0" w:lastRow="0" w:firstColumn="0" w:lastColumn="0" w:noHBand="0" w:noVBand="0"/>
      </w:tblPr>
      <w:tblGrid>
        <w:gridCol w:w="5388"/>
      </w:tblGrid>
      <w:tr w:rsidR="00AA3945" w14:paraId="068EF5C5" w14:textId="77777777" w:rsidTr="00EC1366">
        <w:trPr>
          <w:trHeight w:val="8778"/>
        </w:trPr>
        <w:tc>
          <w:tcPr>
            <w:tcW w:w="5388" w:type="dxa"/>
            <w:tcBorders>
              <w:right w:val="single" w:sz="18" w:space="0" w:color="auto"/>
            </w:tcBorders>
            <w:shd w:val="clear" w:color="auto" w:fill="E8E8E8" w:themeFill="background2"/>
          </w:tcPr>
          <w:p w14:paraId="7CB2781A" w14:textId="77777777" w:rsidR="00AA3945" w:rsidRDefault="00AA3945" w:rsidP="00EC1366">
            <w:pPr>
              <w:pStyle w:val="Default"/>
              <w:rPr>
                <w:rFonts w:eastAsia="Arial"/>
                <w:b/>
                <w:color w:val="72246C"/>
                <w:kern w:val="2"/>
                <w:sz w:val="28"/>
              </w:rPr>
            </w:pPr>
            <w:r w:rsidRPr="00597166">
              <w:rPr>
                <w:rFonts w:eastAsia="Arial"/>
                <w:b/>
                <w:color w:val="72246C"/>
                <w:kern w:val="2"/>
                <w:sz w:val="28"/>
              </w:rPr>
              <w:t>Common NFP financial statement errors</w:t>
            </w:r>
          </w:p>
          <w:p w14:paraId="65B67AF3" w14:textId="7CFB6B9F" w:rsidR="00AA3945" w:rsidRPr="00597166" w:rsidRDefault="00A81D12" w:rsidP="00EC1366">
            <w:pPr>
              <w:pStyle w:val="Default"/>
              <w:spacing w:after="120"/>
              <w:rPr>
                <w:sz w:val="22"/>
                <w:szCs w:val="22"/>
              </w:rPr>
            </w:pPr>
            <w:hyperlink r:id="rId12" w:history="1">
              <w:r w:rsidR="00AA3945" w:rsidRPr="00597166">
                <w:rPr>
                  <w:rStyle w:val="Hyperlink"/>
                  <w:sz w:val="22"/>
                  <w:szCs w:val="22"/>
                </w:rPr>
                <w:t>aicpa-cima.com/resources/article/common-financial-statement-errors-for-new-standards</w:t>
              </w:r>
            </w:hyperlink>
          </w:p>
          <w:p w14:paraId="24979FB6" w14:textId="77777777" w:rsidR="00AA3945" w:rsidRDefault="00AA3945" w:rsidP="00A376F5">
            <w:pPr>
              <w:pStyle w:val="Default"/>
              <w:spacing w:after="120" w:line="271" w:lineRule="auto"/>
              <w:rPr>
                <w:sz w:val="22"/>
                <w:szCs w:val="22"/>
              </w:rPr>
            </w:pPr>
            <w:r w:rsidRPr="00597166">
              <w:rPr>
                <w:sz w:val="22"/>
                <w:szCs w:val="22"/>
              </w:rPr>
              <w:t>The AICPA Not-for-Profit Section Advisory Council and staff have developed this list to serve as a nonauthoritative illustration of some financial statement errors commonly found in small- and medium-sized not-for-profit entities (NFPs), grouped by financial statement type. </w:t>
            </w:r>
          </w:p>
          <w:p w14:paraId="67D6BE04" w14:textId="77777777" w:rsidR="00AA3945" w:rsidRDefault="00AA3945" w:rsidP="00EC1366">
            <w:pPr>
              <w:pStyle w:val="Default"/>
              <w:spacing w:after="120"/>
              <w:rPr>
                <w:sz w:val="22"/>
                <w:szCs w:val="22"/>
              </w:rPr>
            </w:pPr>
            <w:r>
              <w:rPr>
                <w:noProof/>
                <w:sz w:val="22"/>
                <w:szCs w:val="22"/>
              </w:rPr>
              <mc:AlternateContent>
                <mc:Choice Requires="wps">
                  <w:drawing>
                    <wp:anchor distT="0" distB="0" distL="114300" distR="114300" simplePos="0" relativeHeight="251677696" behindDoc="0" locked="0" layoutInCell="1" allowOverlap="1" wp14:anchorId="35773732" wp14:editId="398D4E95">
                      <wp:simplePos x="0" y="0"/>
                      <wp:positionH relativeFrom="column">
                        <wp:posOffset>-55804</wp:posOffset>
                      </wp:positionH>
                      <wp:positionV relativeFrom="paragraph">
                        <wp:posOffset>111713</wp:posOffset>
                      </wp:positionV>
                      <wp:extent cx="3425588" cy="0"/>
                      <wp:effectExtent l="0" t="0" r="0" b="0"/>
                      <wp:wrapNone/>
                      <wp:docPr id="1208525538" name="Straight Connector 1"/>
                      <wp:cNvGraphicFramePr/>
                      <a:graphic xmlns:a="http://schemas.openxmlformats.org/drawingml/2006/main">
                        <a:graphicData uri="http://schemas.microsoft.com/office/word/2010/wordprocessingShape">
                          <wps:wsp>
                            <wps:cNvCnPr/>
                            <wps:spPr>
                              <a:xfrm>
                                <a:off x="0" y="0"/>
                                <a:ext cx="3425588"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5E972"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4pt,8.8pt" to="265.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tovAEAAN4DAAAOAAAAZHJzL2Uyb0RvYy54bWysU8Fu2zAMvQ/oPwi6L3ayZiiMOD20aC/D&#10;WnTbB6gyFQuQREHSYufvR8mJXWzDgA27yBLJ90g+0rvb0Rp2hBA1upavVzVn4CR22h1a/u3rw/sb&#10;zmISrhMGHbT8BJHf7q/e7QbfwAZ7NB0ERiQuNoNveZ+Sb6oqyh6siCv04MipMFiR6BkOVRfEQOzW&#10;VJu6/lgNGDofUEKMZL2fnHxf+JUCmZ6UipCYaTnVlsoZyvmaz2q/E80hCN9reS5D/EMVVmhHSWeq&#10;e5EE+x70L1RWy4ARVVpJtBUqpSWUHqibdf1TN1964aH0QuJEP8sU/x+t/Hy8c8+BZBh8bKJ/DrmL&#10;UQWbv1QfG4tYp1ksGBOTZPxwvdlub2i88uKrFqAPMT0CWpYvLTfa5T5EI46fYqJkFHoJyWbj2NDy&#10;zfa6rktYRKO7B21MdpZdgDsT2FHQFNO4zlMjhjdR9DKOjEsT5ZZOBib+F1BMd1T2ekqQ92vhFFKC&#10;Sxde4yg6wxRVMAPPlf0JeI7PUCi79zfgGVEyo0sz2GqH4XdlL1KoKf6iwNR3luAVu1MZb5GGlqgo&#10;d174vKVv3wW+/Jb7HwAAAP//AwBQSwMEFAAGAAgAAAAhAGhP3PfdAAAACAEAAA8AAABkcnMvZG93&#10;bnJldi54bWxMj81OwzAQhO9IvIO1SNxah7+mSuNUiKoHJDi0tHc33iam8TrYbht4ehZxgOPMrGa+&#10;LeeD68QJQ7SeFNyMMxBItTeWGgWbt+VoCiImTUZ3nlDBJ0aYV5cXpS6MP9MKT+vUCC6hWGgFbUp9&#10;IWWsW3Q6jn2PxNneB6cTy9BIE/SZy10nb7NsIp22xAut7vGpxfqwPjoF9uVjg/eH99f9wj4vtz7k&#10;i/CVK3V9NTzOQCQc0t8x/OAzOlTMtPNHMlF0CkZTJk/s5xMQnD/cZTmI3a8hq1L+f6D6BgAA//8D&#10;AFBLAQItABQABgAIAAAAIQC2gziS/gAAAOEBAAATAAAAAAAAAAAAAAAAAAAAAABbQ29udGVudF9U&#10;eXBlc10ueG1sUEsBAi0AFAAGAAgAAAAhADj9If/WAAAAlAEAAAsAAAAAAAAAAAAAAAAALwEAAF9y&#10;ZWxzLy5yZWxzUEsBAi0AFAAGAAgAAAAhADLJG2i8AQAA3gMAAA4AAAAAAAAAAAAAAAAALgIAAGRy&#10;cy9lMm9Eb2MueG1sUEsBAi0AFAAGAAgAAAAhAGhP3PfdAAAACAEAAA8AAAAAAAAAAAAAAAAAFgQA&#10;AGRycy9kb3ducmV2LnhtbFBLBQYAAAAABAAEAPMAAAAgBQAAAAA=&#10;" strokecolor="black [3213]" strokeweight="2pt">
                      <v:stroke joinstyle="miter"/>
                    </v:line>
                  </w:pict>
                </mc:Fallback>
              </mc:AlternateContent>
            </w:r>
          </w:p>
          <w:p w14:paraId="3444826F" w14:textId="77777777" w:rsidR="00AA3945" w:rsidRPr="00A376F5" w:rsidRDefault="00AA3945" w:rsidP="00EC1366">
            <w:pPr>
              <w:spacing w:after="0"/>
              <w:ind w:left="43" w:firstLine="0"/>
              <w:rPr>
                <w:b/>
                <w:bCs/>
                <w:color w:val="72246C"/>
                <w:sz w:val="28"/>
                <w:szCs w:val="28"/>
              </w:rPr>
            </w:pPr>
            <w:r w:rsidRPr="00A376F5">
              <w:rPr>
                <w:b/>
                <w:bCs/>
                <w:color w:val="72246C"/>
                <w:sz w:val="28"/>
                <w:szCs w:val="28"/>
              </w:rPr>
              <w:t xml:space="preserve">Evolving AICPA tax standards </w:t>
            </w:r>
          </w:p>
          <w:p w14:paraId="434CB424" w14:textId="77777777" w:rsidR="00AA3945" w:rsidRPr="00A376F5" w:rsidRDefault="00AA3945" w:rsidP="00EC1366">
            <w:pPr>
              <w:spacing w:after="120"/>
              <w:rPr>
                <w:szCs w:val="22"/>
              </w:rPr>
            </w:pPr>
            <w:r w:rsidRPr="00A376F5">
              <w:rPr>
                <w:szCs w:val="22"/>
              </w:rPr>
              <w:t xml:space="preserve">The </w:t>
            </w:r>
            <w:hyperlink r:id="rId13" w:history="1">
              <w:r w:rsidRPr="00A376F5">
                <w:rPr>
                  <w:rStyle w:val="Hyperlink"/>
                  <w:szCs w:val="22"/>
                </w:rPr>
                <w:t>AICPA Statements on Standards for Tax Services (SSTS)</w:t>
              </w:r>
            </w:hyperlink>
            <w:r w:rsidRPr="00A376F5">
              <w:rPr>
                <w:szCs w:val="22"/>
              </w:rPr>
              <w:t xml:space="preserve"> serve as the ethical framework for tax professionals and are enforceable tax standards for AICPA members. </w:t>
            </w:r>
          </w:p>
          <w:p w14:paraId="70A79E6B" w14:textId="77777777" w:rsidR="00AA3945" w:rsidRPr="00A376F5" w:rsidRDefault="00AA3945" w:rsidP="00EC1366">
            <w:pPr>
              <w:spacing w:after="120"/>
              <w:rPr>
                <w:szCs w:val="22"/>
              </w:rPr>
            </w:pPr>
            <w:r w:rsidRPr="00A376F5">
              <w:rPr>
                <w:szCs w:val="22"/>
              </w:rPr>
              <w:t>The AICPA’s Tax Executive Committee (TEC) reviewed and adopted updates to the SSTSs with an effective date of Jan. 1, 2024. The SSTS were revised to better reflect the issues and needs of today’s members and to ensure that high ethical standards are maintained to support the public’s view that CPAs are the premier providers of tax services.</w:t>
            </w:r>
          </w:p>
          <w:p w14:paraId="69756ACD" w14:textId="77777777" w:rsidR="00AA3945" w:rsidRPr="00A376F5" w:rsidRDefault="00AA3945" w:rsidP="00EC1366">
            <w:pPr>
              <w:rPr>
                <w:szCs w:val="22"/>
              </w:rPr>
            </w:pPr>
            <w:r w:rsidRPr="00A376F5">
              <w:rPr>
                <w:szCs w:val="22"/>
              </w:rPr>
              <w:t>The revised tax standards included reorganizing the standards by type of work performed and three new standards on data protection, reliance on tools and representation of clients before taxing authorities.</w:t>
            </w:r>
          </w:p>
          <w:p w14:paraId="588F2518" w14:textId="77777777" w:rsidR="00AA3945" w:rsidRPr="00FE4C4F" w:rsidRDefault="00AA3945" w:rsidP="00EC1366">
            <w:pPr>
              <w:jc w:val="center"/>
            </w:pPr>
            <w:r>
              <w:rPr>
                <w:noProof/>
              </w:rPr>
              <w:drawing>
                <wp:inline distT="0" distB="0" distL="0" distR="0" wp14:anchorId="7D0C86A9" wp14:editId="64970E1C">
                  <wp:extent cx="634621" cy="634621"/>
                  <wp:effectExtent l="0" t="0" r="0" b="0"/>
                  <wp:docPr id="899490444" name="Graphic 4" descr="Calcul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90444" name="Graphic 899490444" descr="Calculator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42085" cy="642085"/>
                          </a:xfrm>
                          <a:prstGeom prst="rect">
                            <a:avLst/>
                          </a:prstGeom>
                        </pic:spPr>
                      </pic:pic>
                    </a:graphicData>
                  </a:graphic>
                </wp:inline>
              </w:drawing>
            </w:r>
          </w:p>
        </w:tc>
      </w:tr>
    </w:tbl>
    <w:p w14:paraId="2B8BA0E9" w14:textId="13878E2E" w:rsidR="00F252DA" w:rsidRDefault="00F252DA" w:rsidP="00F252DA">
      <w:pPr>
        <w:pStyle w:val="Default"/>
        <w:spacing w:after="120"/>
        <w:ind w:left="43"/>
        <w:rPr>
          <w:sz w:val="22"/>
          <w:szCs w:val="22"/>
        </w:rPr>
      </w:pPr>
      <w:r>
        <w:rPr>
          <w:color w:val="auto"/>
          <w:sz w:val="22"/>
          <w:szCs w:val="22"/>
        </w:rPr>
        <w:t xml:space="preserve">Response: </w:t>
      </w:r>
      <w:r>
        <w:rPr>
          <w:sz w:val="22"/>
          <w:szCs w:val="22"/>
        </w:rPr>
        <w:t xml:space="preserve">This risk is specifically addressed in the checklist by step AT227: </w:t>
      </w:r>
      <w:r w:rsidRPr="00995152">
        <w:rPr>
          <w:sz w:val="22"/>
          <w:szCs w:val="22"/>
        </w:rPr>
        <w:t xml:space="preserve">Did the service auditor evaluate </w:t>
      </w:r>
      <w:r>
        <w:rPr>
          <w:sz w:val="22"/>
          <w:szCs w:val="22"/>
        </w:rPr>
        <w:t>p</w:t>
      </w:r>
      <w:r w:rsidRPr="00995152">
        <w:rPr>
          <w:sz w:val="22"/>
          <w:szCs w:val="22"/>
        </w:rPr>
        <w:t>rocedures performed by the service</w:t>
      </w:r>
      <w:r>
        <w:rPr>
          <w:sz w:val="22"/>
          <w:szCs w:val="22"/>
        </w:rPr>
        <w:t xml:space="preserve"> </w:t>
      </w:r>
      <w:r w:rsidRPr="00995152">
        <w:rPr>
          <w:sz w:val="22"/>
          <w:szCs w:val="22"/>
        </w:rPr>
        <w:t xml:space="preserve">organization to determine whether </w:t>
      </w:r>
      <w:r>
        <w:rPr>
          <w:sz w:val="22"/>
          <w:szCs w:val="22"/>
        </w:rPr>
        <w:t>i</w:t>
      </w:r>
      <w:r w:rsidRPr="00995152">
        <w:rPr>
          <w:sz w:val="22"/>
          <w:szCs w:val="22"/>
        </w:rPr>
        <w:t>nformation produced or generated</w:t>
      </w:r>
      <w:r>
        <w:rPr>
          <w:sz w:val="22"/>
          <w:szCs w:val="22"/>
        </w:rPr>
        <w:t xml:space="preserve"> </w:t>
      </w:r>
      <w:r w:rsidRPr="00995152">
        <w:rPr>
          <w:sz w:val="22"/>
          <w:szCs w:val="22"/>
        </w:rPr>
        <w:t>by third-party applications and/or tools (including software automation</w:t>
      </w:r>
      <w:r>
        <w:rPr>
          <w:sz w:val="22"/>
          <w:szCs w:val="22"/>
        </w:rPr>
        <w:t xml:space="preserve"> </w:t>
      </w:r>
      <w:r w:rsidRPr="00995152">
        <w:rPr>
          <w:sz w:val="22"/>
          <w:szCs w:val="22"/>
        </w:rPr>
        <w:t>tools) is accurate and complete? [SG 3.140–.143</w:t>
      </w:r>
      <w:r w:rsidR="00545167" w:rsidRPr="00995152">
        <w:rPr>
          <w:sz w:val="22"/>
          <w:szCs w:val="22"/>
        </w:rPr>
        <w:t>]</w:t>
      </w:r>
      <w:r w:rsidR="00545167">
        <w:rPr>
          <w:sz w:val="22"/>
          <w:szCs w:val="22"/>
        </w:rPr>
        <w:t>.</w:t>
      </w:r>
      <w:r>
        <w:rPr>
          <w:sz w:val="22"/>
          <w:szCs w:val="22"/>
        </w:rPr>
        <w:t xml:space="preserve"> </w:t>
      </w:r>
    </w:p>
    <w:p w14:paraId="336173A0" w14:textId="4F3CDFBD" w:rsidR="00F252DA" w:rsidRPr="00F252DA" w:rsidRDefault="00F252DA" w:rsidP="00F252DA">
      <w:pPr>
        <w:pStyle w:val="Default"/>
        <w:spacing w:after="120"/>
        <w:ind w:left="43"/>
        <w:rPr>
          <w:sz w:val="22"/>
          <w:szCs w:val="22"/>
        </w:rPr>
      </w:pPr>
      <w:r w:rsidRPr="00FF6841">
        <w:rPr>
          <w:sz w:val="22"/>
          <w:szCs w:val="22"/>
        </w:rPr>
        <w:t xml:space="preserve">This may be relevant, for example, </w:t>
      </w:r>
      <w:r w:rsidR="00B1559B">
        <w:rPr>
          <w:sz w:val="22"/>
          <w:szCs w:val="22"/>
        </w:rPr>
        <w:t>i</w:t>
      </w:r>
      <w:r w:rsidRPr="00FF6841">
        <w:rPr>
          <w:sz w:val="22"/>
          <w:szCs w:val="22"/>
        </w:rPr>
        <w:t>f management relies upon the SOC 2 tool for designing and maintaining monitoring controls. The peer reviewer may consider whether the service auditor evaluated management’s validation of the monitoring tool configurations.</w:t>
      </w:r>
    </w:p>
    <w:p w14:paraId="0104B8CF" w14:textId="01A6A8C8" w:rsidR="00F252DA" w:rsidRPr="00F252DA" w:rsidRDefault="00F252DA" w:rsidP="00F252DA">
      <w:pPr>
        <w:pStyle w:val="Default"/>
        <w:spacing w:after="120"/>
        <w:ind w:left="43"/>
        <w:rPr>
          <w:b/>
          <w:bCs/>
          <w:color w:val="auto"/>
          <w:sz w:val="22"/>
          <w:szCs w:val="22"/>
        </w:rPr>
      </w:pPr>
      <w:r w:rsidRPr="00F252DA">
        <w:rPr>
          <w:b/>
          <w:bCs/>
          <w:sz w:val="22"/>
          <w:szCs w:val="22"/>
        </w:rPr>
        <w:t xml:space="preserve">Risk: </w:t>
      </w:r>
      <w:r w:rsidRPr="00F252DA">
        <w:rPr>
          <w:b/>
          <w:bCs/>
          <w:color w:val="auto"/>
          <w:sz w:val="22"/>
          <w:szCs w:val="22"/>
        </w:rPr>
        <w:t xml:space="preserve">Service auditors whose clients (service organizations) use SOC 2 tools appear to believe that the use of such tools somehow eliminates or reduces their performance and reporting responsibilities under professional standards. </w:t>
      </w:r>
    </w:p>
    <w:p w14:paraId="2D329193" w14:textId="77777777" w:rsidR="00F252DA" w:rsidRDefault="00F252DA" w:rsidP="00F252DA">
      <w:pPr>
        <w:pStyle w:val="Default"/>
        <w:spacing w:after="120"/>
        <w:ind w:left="43"/>
        <w:rPr>
          <w:sz w:val="22"/>
          <w:szCs w:val="22"/>
        </w:rPr>
      </w:pPr>
      <w:r>
        <w:rPr>
          <w:color w:val="auto"/>
          <w:sz w:val="22"/>
          <w:szCs w:val="22"/>
        </w:rPr>
        <w:t xml:space="preserve">Response: </w:t>
      </w:r>
      <w:r>
        <w:rPr>
          <w:sz w:val="22"/>
          <w:szCs w:val="22"/>
        </w:rPr>
        <w:t xml:space="preserve">The checklist enables the peer reviewer to verify that the service auditor has performed the examination in accordance with professional standards. For example: </w:t>
      </w:r>
    </w:p>
    <w:p w14:paraId="08078CF9" w14:textId="6DE85820" w:rsidR="00F252DA" w:rsidRDefault="00F252DA" w:rsidP="00825BEF">
      <w:pPr>
        <w:pStyle w:val="Default"/>
        <w:numPr>
          <w:ilvl w:val="0"/>
          <w:numId w:val="9"/>
        </w:numPr>
        <w:spacing w:after="120"/>
        <w:ind w:left="634" w:hanging="274"/>
        <w:contextualSpacing/>
        <w:rPr>
          <w:sz w:val="22"/>
          <w:szCs w:val="22"/>
        </w:rPr>
      </w:pPr>
      <w:r>
        <w:rPr>
          <w:sz w:val="22"/>
          <w:szCs w:val="22"/>
        </w:rPr>
        <w:t>AT128 includes consideration of the appropriate</w:t>
      </w:r>
      <w:r w:rsidR="00EA72E8">
        <w:rPr>
          <w:sz w:val="22"/>
          <w:szCs w:val="22"/>
        </w:rPr>
        <w:t>ness</w:t>
      </w:r>
      <w:r>
        <w:rPr>
          <w:sz w:val="22"/>
          <w:szCs w:val="22"/>
        </w:rPr>
        <w:t xml:space="preserve"> of the service commitments and system requirements identified by </w:t>
      </w:r>
      <w:proofErr w:type="gramStart"/>
      <w:r>
        <w:rPr>
          <w:sz w:val="22"/>
          <w:szCs w:val="22"/>
        </w:rPr>
        <w:t>management;</w:t>
      </w:r>
      <w:proofErr w:type="gramEnd"/>
      <w:r>
        <w:rPr>
          <w:sz w:val="22"/>
          <w:szCs w:val="22"/>
        </w:rPr>
        <w:t xml:space="preserve"> </w:t>
      </w:r>
    </w:p>
    <w:p w14:paraId="24B7DFE6" w14:textId="77777777" w:rsidR="00F252DA" w:rsidRDefault="00F252DA" w:rsidP="00825BEF">
      <w:pPr>
        <w:pStyle w:val="Default"/>
        <w:numPr>
          <w:ilvl w:val="0"/>
          <w:numId w:val="9"/>
        </w:numPr>
        <w:spacing w:after="120"/>
        <w:ind w:left="634" w:hanging="274"/>
        <w:contextualSpacing/>
        <w:rPr>
          <w:sz w:val="22"/>
          <w:szCs w:val="22"/>
        </w:rPr>
      </w:pPr>
      <w:r>
        <w:rPr>
          <w:sz w:val="22"/>
          <w:szCs w:val="22"/>
        </w:rPr>
        <w:t xml:space="preserve">AT202 presents procedures that are typically performed to obtain evidence about the system description (the service auditor is expected to perform a combination of the listed procedures) and AT312-328 present factors that should be considered when evaluating whether the description is in accordance with the description </w:t>
      </w:r>
      <w:proofErr w:type="gramStart"/>
      <w:r>
        <w:rPr>
          <w:sz w:val="22"/>
          <w:szCs w:val="22"/>
        </w:rPr>
        <w:t>criteria;</w:t>
      </w:r>
      <w:proofErr w:type="gramEnd"/>
    </w:p>
    <w:p w14:paraId="3D153590" w14:textId="77777777" w:rsidR="00F252DA" w:rsidRDefault="00F252DA" w:rsidP="00825BEF">
      <w:pPr>
        <w:pStyle w:val="Default"/>
        <w:numPr>
          <w:ilvl w:val="0"/>
          <w:numId w:val="9"/>
        </w:numPr>
        <w:spacing w:after="120"/>
        <w:ind w:left="634" w:hanging="274"/>
        <w:contextualSpacing/>
        <w:rPr>
          <w:sz w:val="22"/>
          <w:szCs w:val="22"/>
        </w:rPr>
      </w:pPr>
      <w:r>
        <w:rPr>
          <w:sz w:val="22"/>
          <w:szCs w:val="22"/>
        </w:rPr>
        <w:t xml:space="preserve">AT136 addresses the service auditor’s risk assessment (this is separate from management’s risk assessment which is considered in AT209) and AT210 presents procedures that are typically performed to obtain evidence about the design of </w:t>
      </w:r>
      <w:proofErr w:type="gramStart"/>
      <w:r>
        <w:rPr>
          <w:sz w:val="22"/>
          <w:szCs w:val="22"/>
        </w:rPr>
        <w:t>controls;</w:t>
      </w:r>
      <w:proofErr w:type="gramEnd"/>
    </w:p>
    <w:p w14:paraId="6FB1EC67" w14:textId="67CA003B" w:rsidR="00C806C0" w:rsidRPr="00DC7AD1" w:rsidRDefault="00F252DA" w:rsidP="00D92300">
      <w:pPr>
        <w:pStyle w:val="Default"/>
        <w:numPr>
          <w:ilvl w:val="0"/>
          <w:numId w:val="9"/>
        </w:numPr>
        <w:spacing w:after="120"/>
        <w:ind w:left="634" w:hanging="274"/>
        <w:rPr>
          <w:sz w:val="22"/>
          <w:szCs w:val="22"/>
        </w:rPr>
      </w:pPr>
      <w:r>
        <w:rPr>
          <w:sz w:val="22"/>
          <w:szCs w:val="22"/>
        </w:rPr>
        <w:t>AT229 requires more than inquiry alone to provide sufficient appropriate evidence of the operating effectiveness of controls, AT223 discusses timing of tests of controls and AT228 discuss the method for selecting items to be sampled.</w:t>
      </w:r>
      <w:r w:rsidRPr="00D458A6">
        <w:rPr>
          <w:sz w:val="22"/>
          <w:szCs w:val="22"/>
        </w:rPr>
        <w:t xml:space="preserve"> </w:t>
      </w:r>
    </w:p>
    <w:p w14:paraId="6F9C4E38" w14:textId="77777777" w:rsidR="00F252DA" w:rsidRDefault="00F252DA" w:rsidP="00BA053E">
      <w:pPr>
        <w:pStyle w:val="Default"/>
        <w:spacing w:after="120"/>
        <w:ind w:left="43"/>
        <w:rPr>
          <w:sz w:val="22"/>
          <w:szCs w:val="22"/>
        </w:rPr>
      </w:pPr>
      <w:r>
        <w:rPr>
          <w:sz w:val="22"/>
          <w:szCs w:val="22"/>
        </w:rPr>
        <w:t>The peer reviewer should consider whether the CPA has been engaged solely for the purpose of signing the report without adequate involvement in the engagement. This may become apparent when documenting CPA and non-CPA hours in the engagement profile and relevant attestation experience of the team. Additionally, this should be considered when completing:</w:t>
      </w:r>
    </w:p>
    <w:p w14:paraId="5A719C80" w14:textId="77777777" w:rsidR="00F252DA" w:rsidRDefault="00F252DA" w:rsidP="00825BEF">
      <w:pPr>
        <w:pStyle w:val="Default"/>
        <w:numPr>
          <w:ilvl w:val="0"/>
          <w:numId w:val="9"/>
        </w:numPr>
        <w:spacing w:after="120"/>
        <w:ind w:left="634" w:hanging="274"/>
        <w:contextualSpacing/>
        <w:rPr>
          <w:sz w:val="22"/>
          <w:szCs w:val="22"/>
        </w:rPr>
      </w:pPr>
      <w:r>
        <w:rPr>
          <w:sz w:val="22"/>
          <w:szCs w:val="22"/>
        </w:rPr>
        <w:lastRenderedPageBreak/>
        <w:t xml:space="preserve">AT115 addressing the engagement partner’s responsibility for ensuring the engagement team has the appropriate capabilities and competence; and  </w:t>
      </w:r>
    </w:p>
    <w:p w14:paraId="7E074261" w14:textId="4ABE64AD" w:rsidR="00F252DA" w:rsidRPr="00F252DA" w:rsidRDefault="00F252DA" w:rsidP="00D92300">
      <w:pPr>
        <w:pStyle w:val="Default"/>
        <w:numPr>
          <w:ilvl w:val="0"/>
          <w:numId w:val="9"/>
        </w:numPr>
        <w:spacing w:after="120"/>
        <w:ind w:left="634" w:hanging="274"/>
        <w:rPr>
          <w:sz w:val="22"/>
          <w:szCs w:val="22"/>
        </w:rPr>
      </w:pPr>
      <w:r>
        <w:rPr>
          <w:sz w:val="22"/>
          <w:szCs w:val="22"/>
        </w:rPr>
        <w:t>AT267 addressing appropriate involvement by the engagement partner as the job progressed.</w:t>
      </w:r>
    </w:p>
    <w:p w14:paraId="15633483" w14:textId="05291F90" w:rsidR="00F252DA" w:rsidRPr="00F252DA" w:rsidRDefault="00F252DA" w:rsidP="00F252DA">
      <w:pPr>
        <w:pStyle w:val="Default"/>
        <w:spacing w:after="120"/>
        <w:ind w:left="43"/>
        <w:rPr>
          <w:b/>
          <w:bCs/>
          <w:color w:val="auto"/>
          <w:sz w:val="22"/>
          <w:szCs w:val="22"/>
        </w:rPr>
      </w:pPr>
      <w:r>
        <w:rPr>
          <w:b/>
          <w:bCs/>
          <w:sz w:val="22"/>
          <w:szCs w:val="22"/>
        </w:rPr>
        <w:t xml:space="preserve">Risk: </w:t>
      </w:r>
      <w:r w:rsidRPr="00FF6841">
        <w:rPr>
          <w:b/>
          <w:bCs/>
          <w:color w:val="auto"/>
          <w:sz w:val="22"/>
          <w:szCs w:val="22"/>
        </w:rPr>
        <w:t>SOC 2 tools are often marketed to start up organizations led by managements that do not have expertise in IT security. Among other concerns, management may lack the requisite knowledge and skills to make decisions about the organization’s risks and control activities necessary to mitigate those risks – those decisions are often made by consultants that work for the tool providers.</w:t>
      </w:r>
    </w:p>
    <w:p w14:paraId="19E239D1" w14:textId="6D603CD5" w:rsidR="00F252DA" w:rsidRPr="00D67770" w:rsidRDefault="00F252DA" w:rsidP="00F252DA">
      <w:pPr>
        <w:pStyle w:val="Default"/>
        <w:spacing w:after="120"/>
        <w:ind w:left="43"/>
        <w:rPr>
          <w:sz w:val="22"/>
          <w:szCs w:val="22"/>
        </w:rPr>
      </w:pPr>
      <w:r>
        <w:rPr>
          <w:sz w:val="22"/>
          <w:szCs w:val="22"/>
        </w:rPr>
        <w:t xml:space="preserve">Response: </w:t>
      </w:r>
      <w:r w:rsidRPr="00D67770">
        <w:rPr>
          <w:sz w:val="22"/>
          <w:szCs w:val="22"/>
        </w:rPr>
        <w:t xml:space="preserve">Multiple steps in the checklist prompt the peer reviewer to evaluate whether the service auditor has considered whether management has the requisite skills and knowledge to make decisions about the organization’s risk and control activities necessary to mitigate those risks. </w:t>
      </w:r>
      <w:r>
        <w:rPr>
          <w:sz w:val="22"/>
          <w:szCs w:val="22"/>
        </w:rPr>
        <w:t>This includes</w:t>
      </w:r>
      <w:r w:rsidRPr="00D67770">
        <w:rPr>
          <w:sz w:val="22"/>
          <w:szCs w:val="22"/>
        </w:rPr>
        <w:t>:</w:t>
      </w:r>
    </w:p>
    <w:p w14:paraId="16D0D18F" w14:textId="77777777" w:rsidR="00F252DA" w:rsidRPr="00D67770" w:rsidRDefault="00F252DA" w:rsidP="00825BEF">
      <w:pPr>
        <w:pStyle w:val="Default"/>
        <w:numPr>
          <w:ilvl w:val="0"/>
          <w:numId w:val="9"/>
        </w:numPr>
        <w:spacing w:after="120"/>
        <w:ind w:left="634" w:hanging="274"/>
        <w:contextualSpacing/>
        <w:rPr>
          <w:sz w:val="22"/>
          <w:szCs w:val="22"/>
        </w:rPr>
      </w:pPr>
      <w:r w:rsidRPr="00D67770">
        <w:rPr>
          <w:sz w:val="22"/>
          <w:szCs w:val="22"/>
        </w:rPr>
        <w:t xml:space="preserve">AT119-120 discuss management’s having a reasonable basis for its </w:t>
      </w:r>
      <w:proofErr w:type="gramStart"/>
      <w:r w:rsidRPr="00D67770">
        <w:rPr>
          <w:sz w:val="22"/>
          <w:szCs w:val="22"/>
        </w:rPr>
        <w:t>assertion;</w:t>
      </w:r>
      <w:proofErr w:type="gramEnd"/>
    </w:p>
    <w:p w14:paraId="0A2BC2F7" w14:textId="0C8695D9" w:rsidR="00F252DA" w:rsidRPr="00F252DA" w:rsidRDefault="00F252DA" w:rsidP="00825BEF">
      <w:pPr>
        <w:pStyle w:val="Default"/>
        <w:numPr>
          <w:ilvl w:val="0"/>
          <w:numId w:val="9"/>
        </w:numPr>
        <w:spacing w:after="120"/>
        <w:ind w:left="634" w:hanging="274"/>
        <w:contextualSpacing/>
        <w:rPr>
          <w:sz w:val="22"/>
          <w:szCs w:val="22"/>
        </w:rPr>
      </w:pPr>
      <w:r w:rsidRPr="00D67770">
        <w:rPr>
          <w:sz w:val="22"/>
          <w:szCs w:val="22"/>
        </w:rPr>
        <w:t>AT209 and 211 discuss management’s risk assessment and controls in place to address those risks</w:t>
      </w:r>
      <w:r>
        <w:t>.</w:t>
      </w:r>
    </w:p>
    <w:p w14:paraId="4BE32644" w14:textId="77777777" w:rsidR="00F252DA" w:rsidRPr="001A44BF" w:rsidRDefault="00F252DA" w:rsidP="00F252DA">
      <w:pPr>
        <w:spacing w:after="120"/>
        <w:ind w:left="43"/>
      </w:pPr>
      <w:r w:rsidRPr="001A44BF">
        <w:t>This may be relevant</w:t>
      </w:r>
      <w:r>
        <w:t>, for example,</w:t>
      </w:r>
      <w:r w:rsidRPr="001A44BF">
        <w:t xml:space="preserve"> if the automation vendor defined the control activities</w:t>
      </w:r>
      <w:r>
        <w:t>. The peer reviewer may expect</w:t>
      </w:r>
      <w:r w:rsidRPr="001A44BF">
        <w:t xml:space="preserve"> the service auditor </w:t>
      </w:r>
      <w:r>
        <w:t>to document their consideration of</w:t>
      </w:r>
      <w:r w:rsidRPr="001A44BF">
        <w:t xml:space="preserve"> </w:t>
      </w:r>
      <w:r>
        <w:t xml:space="preserve">whether </w:t>
      </w:r>
      <w:r w:rsidRPr="001A44BF">
        <w:t>management</w:t>
      </w:r>
      <w:r>
        <w:t xml:space="preserve"> has a</w:t>
      </w:r>
      <w:r w:rsidRPr="001A44BF">
        <w:t xml:space="preserve"> reasonable basis for its assertion related to control design</w:t>
      </w:r>
      <w:r>
        <w:t>.</w:t>
      </w:r>
    </w:p>
    <w:p w14:paraId="643FE2CE" w14:textId="77777777" w:rsidR="00F252DA" w:rsidRDefault="00F252DA" w:rsidP="00F252DA">
      <w:pPr>
        <w:spacing w:after="120"/>
        <w:ind w:left="43"/>
      </w:pPr>
      <w:r>
        <w:t xml:space="preserve">In some situations, the peer reviewer may conclude that the vendor is operating as a management’s specialist and would expect the service auditor to have documented the procedures performed to evaluate the specialist (AT122). </w:t>
      </w:r>
      <w:r w:rsidRPr="00D67770">
        <w:t xml:space="preserve">This may be relevant, for example, </w:t>
      </w:r>
      <w:r>
        <w:t>i</w:t>
      </w:r>
      <w:r w:rsidRPr="00FF6841">
        <w:t>f the automation vendor drafted the system description.</w:t>
      </w:r>
    </w:p>
    <w:p w14:paraId="7937DC07" w14:textId="222F660C" w:rsidR="00F252DA" w:rsidRPr="00F252DA" w:rsidRDefault="00F252DA" w:rsidP="00F252DA">
      <w:pPr>
        <w:pStyle w:val="Default"/>
        <w:spacing w:after="120"/>
        <w:ind w:left="43"/>
        <w:rPr>
          <w:color w:val="auto"/>
          <w:sz w:val="22"/>
          <w:szCs w:val="22"/>
        </w:rPr>
      </w:pPr>
      <w:r w:rsidRPr="00F252DA">
        <w:rPr>
          <w:b/>
          <w:bCs/>
          <w:sz w:val="22"/>
          <w:szCs w:val="22"/>
        </w:rPr>
        <w:t xml:space="preserve">Risk: </w:t>
      </w:r>
      <w:r w:rsidRPr="00F252DA">
        <w:rPr>
          <w:b/>
          <w:bCs/>
          <w:color w:val="auto"/>
          <w:sz w:val="22"/>
          <w:szCs w:val="22"/>
        </w:rPr>
        <w:t>Some SOC 2 tool providers have a “related” CPA firm that provides the audit based on the SOC 2 information generated by the SOC 2 tool. Depending on how the tool is used by the service organization (e.g., whether the tool becomes part of the service organization’s internal controls), there may be a self-review threat that cannot be mitigated to an acceptable level.</w:t>
      </w:r>
      <w:r w:rsidRPr="00F252DA">
        <w:rPr>
          <w:rStyle w:val="FootnoteReference"/>
          <w:b/>
          <w:bCs/>
          <w:color w:val="auto"/>
          <w:sz w:val="22"/>
          <w:szCs w:val="22"/>
        </w:rPr>
        <w:footnoteReference w:id="1"/>
      </w:r>
    </w:p>
    <w:p w14:paraId="13875DBD" w14:textId="0F6AA764" w:rsidR="00F252DA" w:rsidRPr="002138F9" w:rsidRDefault="00F252DA" w:rsidP="00F252DA">
      <w:pPr>
        <w:pStyle w:val="Default"/>
        <w:spacing w:after="120"/>
        <w:ind w:left="43"/>
        <w:rPr>
          <w:sz w:val="22"/>
          <w:szCs w:val="22"/>
        </w:rPr>
      </w:pPr>
      <w:r w:rsidRPr="002138F9">
        <w:rPr>
          <w:sz w:val="22"/>
          <w:szCs w:val="22"/>
        </w:rPr>
        <w:t>Response:</w:t>
      </w:r>
      <w:r w:rsidRPr="002138F9">
        <w:rPr>
          <w:b/>
          <w:bCs/>
          <w:sz w:val="22"/>
          <w:szCs w:val="22"/>
        </w:rPr>
        <w:t xml:space="preserve"> </w:t>
      </w:r>
      <w:r w:rsidRPr="002138F9">
        <w:rPr>
          <w:sz w:val="22"/>
          <w:szCs w:val="22"/>
        </w:rPr>
        <w:t xml:space="preserve">In the discussion of nonattest services in AT 109, the checklist specifically notes the importance of determining whether the service auditor assisted the service organization with the design, implementation, or integration of any governance, risk, and compliance (GRC) or automation tool(s). If so, the service auditor should assess whether self-review and management participation </w:t>
      </w:r>
      <w:proofErr w:type="gramStart"/>
      <w:r w:rsidRPr="002138F9">
        <w:rPr>
          <w:sz w:val="22"/>
          <w:szCs w:val="22"/>
        </w:rPr>
        <w:t>threats to</w:t>
      </w:r>
      <w:proofErr w:type="gramEnd"/>
      <w:r w:rsidRPr="002138F9">
        <w:rPr>
          <w:sz w:val="22"/>
          <w:szCs w:val="22"/>
        </w:rPr>
        <w:t xml:space="preserve"> the service auditor’s independence exist. </w:t>
      </w:r>
    </w:p>
    <w:p w14:paraId="36C5CF49" w14:textId="200ABC27" w:rsidR="00F252DA" w:rsidRPr="00F252DA" w:rsidRDefault="00F252DA" w:rsidP="00F252DA">
      <w:pPr>
        <w:pStyle w:val="paragraph"/>
        <w:spacing w:before="0" w:beforeAutospacing="0" w:after="120" w:afterAutospacing="0"/>
        <w:ind w:left="43"/>
        <w:textAlignment w:val="baseline"/>
        <w:rPr>
          <w:rStyle w:val="normaltextrun"/>
          <w:rFonts w:ascii="Segoe UI" w:hAnsi="Segoe UI" w:cs="Segoe UI"/>
          <w:sz w:val="18"/>
          <w:szCs w:val="18"/>
        </w:rPr>
      </w:pPr>
      <w:r>
        <w:rPr>
          <w:rStyle w:val="normaltextrun"/>
          <w:rFonts w:ascii="Arial" w:hAnsi="Arial" w:cs="Arial"/>
          <w:sz w:val="22"/>
          <w:szCs w:val="22"/>
        </w:rPr>
        <w:t>If any of the following conditions are met regarding the SOC 2 tool provider and the “related” CPA firm, the tool provider’s work with respect to the SOC tool would be evaluated as if done by the CPA firm:</w:t>
      </w:r>
      <w:r>
        <w:rPr>
          <w:rStyle w:val="FootnoteReference"/>
          <w:rFonts w:ascii="Arial" w:hAnsi="Arial" w:cs="Arial"/>
          <w:sz w:val="22"/>
          <w:szCs w:val="22"/>
        </w:rPr>
        <w:footnoteReference w:id="2"/>
      </w:r>
      <w:r>
        <w:rPr>
          <w:rStyle w:val="normaltextrun"/>
          <w:rFonts w:ascii="Arial" w:hAnsi="Arial" w:cs="Arial"/>
          <w:sz w:val="22"/>
          <w:szCs w:val="22"/>
        </w:rPr>
        <w:t xml:space="preserve"> 1) the CPA firm or any of its members individually or acting together have a controlling interest in the SOC 2 tool provider</w:t>
      </w:r>
      <w:r>
        <w:rPr>
          <w:rStyle w:val="FootnoteReference"/>
          <w:rFonts w:ascii="Arial" w:hAnsi="Arial" w:cs="Arial"/>
          <w:sz w:val="22"/>
          <w:szCs w:val="22"/>
        </w:rPr>
        <w:footnoteReference w:id="3"/>
      </w:r>
      <w:r>
        <w:rPr>
          <w:rStyle w:val="normaltextrun"/>
          <w:rFonts w:ascii="Arial" w:hAnsi="Arial" w:cs="Arial"/>
          <w:sz w:val="22"/>
          <w:szCs w:val="22"/>
        </w:rPr>
        <w:t>; 2) the CPA Firm and the SOC 2 tool provider are considered network firms;</w:t>
      </w:r>
      <w:r>
        <w:rPr>
          <w:rStyle w:val="FootnoteReference"/>
          <w:rFonts w:ascii="Arial" w:hAnsi="Arial" w:cs="Arial"/>
          <w:sz w:val="22"/>
          <w:szCs w:val="22"/>
        </w:rPr>
        <w:footnoteReference w:id="4"/>
      </w:r>
      <w:r>
        <w:rPr>
          <w:rStyle w:val="normaltextrun"/>
          <w:rFonts w:ascii="Arial" w:hAnsi="Arial" w:cs="Arial"/>
          <w:sz w:val="22"/>
          <w:szCs w:val="22"/>
        </w:rPr>
        <w:t xml:space="preserve"> or 3) the SOC 2 tool provider’s operating, financial, or accounting policies can be controlled by any covered member or more than one covered member acting together</w:t>
      </w:r>
      <w:r>
        <w:rPr>
          <w:rStyle w:val="FootnoteReference"/>
          <w:rFonts w:ascii="Arial" w:hAnsi="Arial" w:cs="Arial"/>
          <w:sz w:val="22"/>
          <w:szCs w:val="22"/>
        </w:rPr>
        <w:footnoteReference w:id="5"/>
      </w:r>
      <w:r>
        <w:rPr>
          <w:rStyle w:val="normaltextrun"/>
          <w:rFonts w:ascii="Arial" w:hAnsi="Arial" w:cs="Arial"/>
          <w:sz w:val="22"/>
          <w:szCs w:val="22"/>
        </w:rPr>
        <w:t>. This means that the SOC 2 tool provider would need to comply with ethical requirements such as independence, commissions, and referral fees. These considerations would be documented as part of ATT109. </w:t>
      </w:r>
    </w:p>
    <w:p w14:paraId="761FCCA0" w14:textId="56E0F8E9" w:rsidR="00F252DA" w:rsidRPr="00F252DA" w:rsidRDefault="00F252DA" w:rsidP="00F252DA">
      <w:pPr>
        <w:pStyle w:val="paragraph"/>
        <w:spacing w:before="0" w:beforeAutospacing="0" w:after="120" w:afterAutospacing="0"/>
        <w:ind w:left="43"/>
        <w:textAlignment w:val="baseline"/>
        <w:rPr>
          <w:rStyle w:val="normaltextrun"/>
          <w:rFonts w:ascii="Segoe UI" w:hAnsi="Segoe UI" w:cs="Segoe UI"/>
          <w:sz w:val="18"/>
          <w:szCs w:val="18"/>
        </w:rPr>
      </w:pPr>
      <w:r>
        <w:rPr>
          <w:rStyle w:val="normaltextrun"/>
          <w:rFonts w:ascii="Arial" w:hAnsi="Arial" w:cs="Arial"/>
          <w:sz w:val="22"/>
          <w:szCs w:val="22"/>
        </w:rPr>
        <w:t>In addition, independence may be required when the CPA Firm and the SOC 2 tool provider are in an alternative practice structure</w:t>
      </w:r>
      <w:r>
        <w:rPr>
          <w:rStyle w:val="FootnoteReference"/>
          <w:rFonts w:ascii="Arial" w:hAnsi="Arial" w:cs="Arial"/>
          <w:sz w:val="22"/>
          <w:szCs w:val="22"/>
        </w:rPr>
        <w:footnoteReference w:id="6"/>
      </w:r>
      <w:r>
        <w:rPr>
          <w:rStyle w:val="normaltextrun"/>
          <w:rFonts w:ascii="Arial" w:hAnsi="Arial" w:cs="Arial"/>
          <w:sz w:val="22"/>
          <w:szCs w:val="22"/>
        </w:rPr>
        <w:t>. </w:t>
      </w:r>
    </w:p>
    <w:p w14:paraId="0F802A5F" w14:textId="77777777" w:rsidR="00E06E62" w:rsidRDefault="00F252DA" w:rsidP="00F252DA">
      <w:pPr>
        <w:pStyle w:val="paragraph"/>
        <w:spacing w:before="0" w:beforeAutospacing="0" w:after="120" w:afterAutospacing="0"/>
        <w:ind w:left="43"/>
        <w:textAlignment w:val="baseline"/>
        <w:rPr>
          <w:rStyle w:val="eop"/>
          <w:rFonts w:ascii="Arial" w:hAnsi="Arial" w:cs="Arial"/>
          <w:sz w:val="22"/>
          <w:szCs w:val="22"/>
        </w:rPr>
      </w:pPr>
      <w:r>
        <w:rPr>
          <w:rStyle w:val="normaltextrun"/>
          <w:rFonts w:ascii="Arial" w:hAnsi="Arial" w:cs="Arial"/>
          <w:sz w:val="22"/>
          <w:szCs w:val="22"/>
        </w:rPr>
        <w:t xml:space="preserve">Even when individuals in a firm, either individually or collectively, do </w:t>
      </w:r>
      <w:r>
        <w:rPr>
          <w:rStyle w:val="normaltextrun"/>
          <w:rFonts w:ascii="Arial" w:hAnsi="Arial" w:cs="Arial"/>
          <w:i/>
          <w:iCs/>
          <w:sz w:val="22"/>
          <w:szCs w:val="22"/>
        </w:rPr>
        <w:t>not</w:t>
      </w:r>
      <w:r>
        <w:rPr>
          <w:rStyle w:val="normaltextrun"/>
          <w:rFonts w:ascii="Arial" w:hAnsi="Arial" w:cs="Arial"/>
          <w:sz w:val="22"/>
          <w:szCs w:val="22"/>
        </w:rPr>
        <w:t xml:space="preserve"> have a controlling interest in the SOC 2 tool provider, independence would be impaired if the member provided prohibited nonattest services to the attest client through the SOC 2 tool provider</w:t>
      </w:r>
      <w:r>
        <w:rPr>
          <w:rStyle w:val="FootnoteReference"/>
          <w:rFonts w:ascii="Arial" w:hAnsi="Arial" w:cs="Arial"/>
          <w:sz w:val="22"/>
          <w:szCs w:val="22"/>
        </w:rPr>
        <w:footnoteReference w:id="7"/>
      </w:r>
      <w:r>
        <w:rPr>
          <w:rStyle w:val="normaltextrun"/>
          <w:rFonts w:ascii="Arial" w:hAnsi="Arial" w:cs="Arial"/>
          <w:sz w:val="22"/>
          <w:szCs w:val="22"/>
        </w:rPr>
        <w:t>.</w:t>
      </w:r>
      <w:r>
        <w:rPr>
          <w:rStyle w:val="eop"/>
          <w:rFonts w:ascii="Arial" w:hAnsi="Arial" w:cs="Arial"/>
          <w:sz w:val="22"/>
          <w:szCs w:val="22"/>
        </w:rPr>
        <w:t> </w:t>
      </w:r>
    </w:p>
    <w:p w14:paraId="31F03D3E" w14:textId="7F52331F" w:rsidR="00F252DA" w:rsidRPr="00F252DA" w:rsidRDefault="00F252DA" w:rsidP="00F252DA">
      <w:pPr>
        <w:pStyle w:val="paragraph"/>
        <w:spacing w:before="0" w:beforeAutospacing="0" w:after="120" w:afterAutospacing="0"/>
        <w:ind w:left="43"/>
        <w:textAlignment w:val="baseline"/>
        <w:rPr>
          <w:rFonts w:ascii="Segoe UI" w:hAnsi="Segoe UI" w:cs="Segoe UI"/>
          <w:sz w:val="18"/>
          <w:szCs w:val="18"/>
        </w:rPr>
      </w:pPr>
      <w:r>
        <w:rPr>
          <w:rStyle w:val="normaltextrun"/>
          <w:rFonts w:ascii="Arial" w:hAnsi="Arial" w:cs="Arial"/>
          <w:sz w:val="22"/>
          <w:szCs w:val="22"/>
        </w:rPr>
        <w:t>If a relationship exists between the CPA firm and the SOC 2 tool provider that is not enumerated above, a member should apply the conceptual framework approach keeping in mind that independence should be in fact and in appearance</w:t>
      </w:r>
      <w:r>
        <w:rPr>
          <w:rStyle w:val="FootnoteReference"/>
          <w:rFonts w:ascii="Arial" w:hAnsi="Arial" w:cs="Arial"/>
          <w:sz w:val="22"/>
          <w:szCs w:val="22"/>
        </w:rPr>
        <w:footnoteReference w:id="8"/>
      </w:r>
      <w:r>
        <w:rPr>
          <w:rStyle w:val="normaltextrun"/>
          <w:rFonts w:ascii="Arial" w:hAnsi="Arial" w:cs="Arial"/>
          <w:sz w:val="22"/>
          <w:szCs w:val="22"/>
        </w:rPr>
        <w:t>. </w:t>
      </w:r>
    </w:p>
    <w:p w14:paraId="50FB9C65" w14:textId="10D86B18" w:rsidR="00F252DA" w:rsidRDefault="00F252DA" w:rsidP="00F252DA">
      <w:pPr>
        <w:pStyle w:val="Default"/>
        <w:spacing w:after="120"/>
        <w:ind w:left="43"/>
        <w:rPr>
          <w:b/>
          <w:bCs/>
          <w:color w:val="auto"/>
          <w:sz w:val="22"/>
          <w:szCs w:val="22"/>
        </w:rPr>
      </w:pPr>
      <w:r>
        <w:rPr>
          <w:b/>
          <w:bCs/>
          <w:sz w:val="22"/>
          <w:szCs w:val="22"/>
        </w:rPr>
        <w:lastRenderedPageBreak/>
        <w:t>Risk</w:t>
      </w:r>
      <w:r w:rsidRPr="002B4BF8">
        <w:rPr>
          <w:b/>
          <w:bCs/>
          <w:sz w:val="22"/>
          <w:szCs w:val="22"/>
        </w:rPr>
        <w:t xml:space="preserve">: </w:t>
      </w:r>
      <w:r w:rsidRPr="002B4BF8">
        <w:rPr>
          <w:b/>
          <w:bCs/>
          <w:color w:val="auto"/>
          <w:sz w:val="22"/>
          <w:szCs w:val="22"/>
        </w:rPr>
        <w:t xml:space="preserve">Some SOC 2 tool providers </w:t>
      </w:r>
      <w:proofErr w:type="gramStart"/>
      <w:r w:rsidRPr="002B4BF8">
        <w:rPr>
          <w:b/>
          <w:bCs/>
          <w:color w:val="auto"/>
          <w:sz w:val="22"/>
          <w:szCs w:val="22"/>
        </w:rPr>
        <w:t>enter into</w:t>
      </w:r>
      <w:proofErr w:type="gramEnd"/>
      <w:r w:rsidRPr="002B4BF8">
        <w:rPr>
          <w:b/>
          <w:bCs/>
          <w:color w:val="auto"/>
          <w:sz w:val="22"/>
          <w:szCs w:val="22"/>
        </w:rPr>
        <w:t xml:space="preserve"> business relationships with CPA firms that will provide the SOC 2 audit. This raises concerns about whether such firms are meeting ethical requirements around marketing and advertising.</w:t>
      </w:r>
    </w:p>
    <w:p w14:paraId="5ADFB360" w14:textId="599120B4" w:rsidR="00F252DA" w:rsidRDefault="00F252DA" w:rsidP="00F252DA">
      <w:pPr>
        <w:pStyle w:val="Default"/>
        <w:spacing w:after="120"/>
        <w:ind w:left="43"/>
        <w:rPr>
          <w:sz w:val="22"/>
          <w:szCs w:val="22"/>
        </w:rPr>
      </w:pPr>
      <w:r>
        <w:rPr>
          <w:color w:val="auto"/>
          <w:sz w:val="22"/>
          <w:szCs w:val="22"/>
        </w:rPr>
        <w:t xml:space="preserve">Response: </w:t>
      </w:r>
      <w:r>
        <w:rPr>
          <w:sz w:val="22"/>
          <w:szCs w:val="22"/>
        </w:rPr>
        <w:t>The checklist contains a section on ethical requirements. The peer reviewer should be familiar with specific requirements within the code of conduct related to marketing and advertising. This can be documented as part of ATT108.</w:t>
      </w:r>
    </w:p>
    <w:p w14:paraId="0CCDF482" w14:textId="2FA080F1" w:rsidR="00F252DA" w:rsidRDefault="00F252DA" w:rsidP="00F252DA">
      <w:pPr>
        <w:pStyle w:val="Default"/>
        <w:spacing w:after="120"/>
        <w:ind w:left="43"/>
        <w:rPr>
          <w:b/>
          <w:bCs/>
          <w:color w:val="auto"/>
          <w:sz w:val="22"/>
          <w:szCs w:val="22"/>
        </w:rPr>
      </w:pPr>
      <w:r>
        <w:rPr>
          <w:b/>
          <w:bCs/>
          <w:sz w:val="22"/>
          <w:szCs w:val="22"/>
        </w:rPr>
        <w:t xml:space="preserve">Risk: </w:t>
      </w:r>
      <w:r w:rsidRPr="002B4BF8">
        <w:rPr>
          <w:b/>
          <w:bCs/>
          <w:color w:val="auto"/>
          <w:sz w:val="22"/>
          <w:szCs w:val="22"/>
        </w:rPr>
        <w:t>Some audit organizations identified on SOC 2 tool providers’ websites do not appear to be licensed CPA firms. Most state boards of accountancy require attestation engagements, including SOC 2 examinations, to be performed by licensed CPA firms.</w:t>
      </w:r>
    </w:p>
    <w:p w14:paraId="5429E403" w14:textId="77777777" w:rsidR="00F252DA" w:rsidRPr="002B4BF8" w:rsidRDefault="00F252DA" w:rsidP="004966CF">
      <w:pPr>
        <w:pStyle w:val="Default"/>
        <w:ind w:left="43"/>
        <w:rPr>
          <w:sz w:val="22"/>
          <w:szCs w:val="22"/>
        </w:rPr>
      </w:pPr>
      <w:r>
        <w:rPr>
          <w:color w:val="auto"/>
          <w:sz w:val="22"/>
          <w:szCs w:val="22"/>
        </w:rPr>
        <w:t xml:space="preserve">Response: </w:t>
      </w:r>
      <w:r>
        <w:rPr>
          <w:sz w:val="22"/>
          <w:szCs w:val="22"/>
        </w:rPr>
        <w:t xml:space="preserve">Although non-CPA firms are not subject to peer review, there have been situations where SOC 2 tool providers </w:t>
      </w:r>
      <w:proofErr w:type="gramStart"/>
      <w:r>
        <w:rPr>
          <w:sz w:val="22"/>
          <w:szCs w:val="22"/>
        </w:rPr>
        <w:t>enter into</w:t>
      </w:r>
      <w:proofErr w:type="gramEnd"/>
      <w:r>
        <w:rPr>
          <w:sz w:val="22"/>
          <w:szCs w:val="22"/>
        </w:rPr>
        <w:t xml:space="preserve"> business relationships where an engagement is performed by a non-CPA firm and a CPA is engaged solely for the purpose of signing the report without other participation in the engagement. The peer reviewer should be aware of this possibility when reviewing individual SOC engagements, particularly when completing the engagement profile and documenting AT115 (engagement partner responsibilities) and AT267 (involvement of the engagement partner as the job progresses).</w:t>
      </w:r>
    </w:p>
    <w:p w14:paraId="1C2733C0" w14:textId="77777777" w:rsidR="00F7746F" w:rsidRDefault="00F7746F" w:rsidP="00F7746F">
      <w:pPr>
        <w:spacing w:after="120" w:line="240" w:lineRule="auto"/>
        <w:ind w:left="43" w:firstLine="0"/>
      </w:pPr>
      <w:r>
        <w:rPr>
          <w:rFonts w:ascii="Calibri" w:eastAsia="Calibri" w:hAnsi="Calibri" w:cs="Calibri"/>
          <w:noProof/>
        </w:rPr>
        <mc:AlternateContent>
          <mc:Choice Requires="wpg">
            <w:drawing>
              <wp:inline distT="0" distB="0" distL="0" distR="0" wp14:anchorId="321D4053" wp14:editId="72EC2F41">
                <wp:extent cx="6858000" cy="25400"/>
                <wp:effectExtent l="0" t="0" r="0" b="0"/>
                <wp:docPr id="1065849414" name="Group 1065849414"/>
                <wp:cNvGraphicFramePr/>
                <a:graphic xmlns:a="http://schemas.openxmlformats.org/drawingml/2006/main">
                  <a:graphicData uri="http://schemas.microsoft.com/office/word/2010/wordprocessingGroup">
                    <wpg:wgp>
                      <wpg:cNvGrpSpPr/>
                      <wpg:grpSpPr>
                        <a:xfrm>
                          <a:off x="0" y="0"/>
                          <a:ext cx="6858000" cy="25400"/>
                          <a:chOff x="0" y="0"/>
                          <a:chExt cx="6858013" cy="25400"/>
                        </a:xfrm>
                      </wpg:grpSpPr>
                      <wps:wsp>
                        <wps:cNvPr id="919013885" name="Shape 93"/>
                        <wps:cNvSpPr/>
                        <wps:spPr>
                          <a:xfrm>
                            <a:off x="0" y="0"/>
                            <a:ext cx="6858013" cy="0"/>
                          </a:xfrm>
                          <a:custGeom>
                            <a:avLst/>
                            <a:gdLst/>
                            <a:ahLst/>
                            <a:cxnLst/>
                            <a:rect l="0" t="0" r="0" b="0"/>
                            <a:pathLst>
                              <a:path w="6858013">
                                <a:moveTo>
                                  <a:pt x="0" y="0"/>
                                </a:moveTo>
                                <a:lnTo>
                                  <a:pt x="6858013"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4E028C" id="Group 1065849414" o:spid="_x0000_s1026" style="width:540pt;height:2pt;mso-position-horizontal-relative:char;mso-position-vertical-relative:lin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cVgIAAKUFAAAOAAAAZHJzL2Uyb0RvYy54bWykVE2P2jAQvVfqf7B8L0mgrCAi7KHbcqna&#10;VXf7A4xjJ5Ec27INgX/f8eQDyqqVdpdDmMQzz+89j2dzf2oVOQrnG6MLms1SSoTmpmx0VdDfz98+&#10;rSjxgemSKaNFQc/C0/vtxw+bzuZibmqjSuEIgGifd7agdQg2TxLPa9EyPzNWaFiUxrUswKurktKx&#10;DtBblczT9C7pjCutM1x4D18f+kW6RXwpBQ8/pfQiEFVQ4Bbw6fC5j89ku2F55ZitGz7QYG9g0bJG&#10;w6YT1AMLjBxc8wKqbbgz3sgw46ZNjJQNF6gB1GTpjZqdMweLWqq8q+xkE1h749ObYfmP487ZJ/vo&#10;wInOVuAFvkUtJ+na+A8syQktO0+WiVMgHD7erZarNAVnOazNl58hREt5Db6/qOL11+u6bHFTl4yb&#10;Jn9R6Sw0h7/o9+/T/1QzK9BWn4P+R0easqDrbJ1mi9VqSYlmLbQqppH1IgqKDCB18snnHix7lUmj&#10;WDRoEspyfvBhJww6zY7ffehbshwjVo8RP+kxdNDY/21py0KsiwxjSLrhqIBF/Naao3g2uBpuTgmo&#10;XVaVvs7Cw446xj6A3D4DgrjNdjMEuDXE1+KUjiz6HiGcwWWXigWkA32uS9CNePAX7e4NxiiclYhc&#10;lf4lJBwW9F2Gdd5V+y/KkSOL1xt/8bQQBlJjjWyUmqrSf1bFVKZszQasAWbYACEHpJgpcLLcwvKB&#10;TT9e4JLCtRiHDFCaipCW0WGq1zAaccMrtTHcm/KMFxMNgRuA1uAsQEbD3IrD5vodsy7TdfsHAAD/&#10;/wMAUEsDBBQABgAIAAAAIQDSInFB2wAAAAQBAAAPAAAAZHJzL2Rvd25yZXYueG1sTI9Ba8JAEIXv&#10;hf6HZQre6m6qLZJmIyKtJylUC6W3MTsmwexsyK5J/Pdde6mXB483vPdNthxtI3rqfO1YQzJVIIgL&#10;Z2ouNXzt3x8XIHxANtg4Jg0X8rDM7+8yTI0b+JP6XShFLGGfooYqhDaV0hcVWfRT1xLH7Og6iyHa&#10;rpSmwyGW20Y+KfUiLdYcFypsaV1RcdqdrYbNgMNqlrz129NxffnZP398bxPSevIwrl5BBBrD/zFc&#10;8SM65JHp4M5svGg0xEfCn14ztVDRHzTMFcg8k7fw+S8AAAD//wMAUEsBAi0AFAAGAAgAAAAhALaD&#10;OJL+AAAA4QEAABMAAAAAAAAAAAAAAAAAAAAAAFtDb250ZW50X1R5cGVzXS54bWxQSwECLQAUAAYA&#10;CAAAACEAOP0h/9YAAACUAQAACwAAAAAAAAAAAAAAAAAvAQAAX3JlbHMvLnJlbHNQSwECLQAUAAYA&#10;CAAAACEAv0wr3FYCAAClBQAADgAAAAAAAAAAAAAAAAAuAgAAZHJzL2Uyb0RvYy54bWxQSwECLQAU&#10;AAYACAAAACEA0iJxQdsAAAAEAQAADwAAAAAAAAAAAAAAAACwBAAAZHJzL2Rvd25yZXYueG1sUEsF&#10;BgAAAAAEAAQA8wAAALgFAAAAAA==&#10;">
                <v:shape id="Shape 93" o:spid="_x0000_s1027" style="position:absolute;width:68580;height:0;visibility:visible;mso-wrap-style:square;v-text-anchor:top" coordsize="685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hKywAAAOIAAAAPAAAAZHJzL2Rvd25yZXYueG1sRI9PawIx&#10;FMTvhX6H8Aq91ewqlnU1SmkRPZRa/+D5sXndXbp5iUnU9ds3hUKPw8z8hpktetOJC/nQWlaQDzIQ&#10;xJXVLdcKDvvlUwEiRGSNnWVScKMAi/n93QxLba+8pcsu1iJBOJSooInRlVKGqiGDYWAdcfK+rDcY&#10;k/S11B6vCW46OcyyZ2mw5bTQoKPXhqrv3dkoGB3fT5/bjavP/u2jGJuK10u3UurxoX+ZgojUx//w&#10;X3utFUzySZaPimIMv5fSHZDzHwAAAP//AwBQSwECLQAUAAYACAAAACEA2+H2y+4AAACFAQAAEwAA&#10;AAAAAAAAAAAAAAAAAAAAW0NvbnRlbnRfVHlwZXNdLnhtbFBLAQItABQABgAIAAAAIQBa9CxbvwAA&#10;ABUBAAALAAAAAAAAAAAAAAAAAB8BAABfcmVscy8ucmVsc1BLAQItABQABgAIAAAAIQDUhthKywAA&#10;AOIAAAAPAAAAAAAAAAAAAAAAAAcCAABkcnMvZG93bnJldi54bWxQSwUGAAAAAAMAAwC3AAAA/wIA&#10;AAAA&#10;" path="m,l6858013,e" filled="f" strokeweight="2pt">
                  <v:path arrowok="t" textboxrect="0,0,6858013,0"/>
                </v:shape>
                <w10:anchorlock/>
              </v:group>
            </w:pict>
          </mc:Fallback>
        </mc:AlternateContent>
      </w:r>
    </w:p>
    <w:p w14:paraId="10526344" w14:textId="321A9968" w:rsidR="00F7746F" w:rsidRDefault="00F7746F">
      <w:pPr>
        <w:ind w:left="60"/>
        <w:rPr>
          <w:b/>
          <w:color w:val="72246C"/>
          <w:sz w:val="28"/>
        </w:rPr>
      </w:pPr>
      <w:bookmarkStart w:id="1" w:name="_Hlk167124943"/>
      <w:r w:rsidRPr="00F7746F">
        <w:rPr>
          <w:b/>
          <w:color w:val="72246C"/>
          <w:sz w:val="28"/>
        </w:rPr>
        <w:t>Digital Assets: Considerations for existence, rights &amp; obligations, and valuation</w:t>
      </w:r>
    </w:p>
    <w:bookmarkEnd w:id="1"/>
    <w:p w14:paraId="3A04AA9C" w14:textId="7735F281" w:rsidR="00F7746F" w:rsidRPr="00F7746F" w:rsidRDefault="00032B8A" w:rsidP="00B1762E">
      <w:pPr>
        <w:spacing w:after="120" w:line="259" w:lineRule="auto"/>
        <w:ind w:left="43" w:firstLine="0"/>
        <w:rPr>
          <w:szCs w:val="22"/>
        </w:rPr>
      </w:pPr>
      <w:r>
        <w:rPr>
          <w:noProof/>
          <w:szCs w:val="22"/>
        </w:rPr>
        <w:drawing>
          <wp:anchor distT="0" distB="0" distL="114300" distR="114300" simplePos="0" relativeHeight="251665408" behindDoc="1" locked="0" layoutInCell="1" allowOverlap="1" wp14:anchorId="4B09FF1F" wp14:editId="2FC75D51">
            <wp:simplePos x="0" y="0"/>
            <wp:positionH relativeFrom="column">
              <wp:posOffset>3800475</wp:posOffset>
            </wp:positionH>
            <wp:positionV relativeFrom="paragraph">
              <wp:posOffset>416560</wp:posOffset>
            </wp:positionV>
            <wp:extent cx="3084195" cy="2046605"/>
            <wp:effectExtent l="0" t="0" r="1905" b="0"/>
            <wp:wrapTight wrapText="bothSides">
              <wp:wrapPolygon edited="0">
                <wp:start x="0" y="0"/>
                <wp:lineTo x="0" y="21312"/>
                <wp:lineTo x="21480" y="21312"/>
                <wp:lineTo x="21480" y="0"/>
                <wp:lineTo x="0" y="0"/>
              </wp:wrapPolygon>
            </wp:wrapTight>
            <wp:docPr id="164596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4195" cy="2046605"/>
                    </a:xfrm>
                    <a:prstGeom prst="rect">
                      <a:avLst/>
                    </a:prstGeom>
                    <a:noFill/>
                  </pic:spPr>
                </pic:pic>
              </a:graphicData>
            </a:graphic>
            <wp14:sizeRelH relativeFrom="page">
              <wp14:pctWidth>0</wp14:pctWidth>
            </wp14:sizeRelH>
            <wp14:sizeRelV relativeFrom="page">
              <wp14:pctHeight>0</wp14:pctHeight>
            </wp14:sizeRelV>
          </wp:anchor>
        </w:drawing>
      </w:r>
      <w:r w:rsidR="00F7746F" w:rsidRPr="00F7746F">
        <w:rPr>
          <w:szCs w:val="22"/>
        </w:rPr>
        <w:t xml:space="preserve">The practice aid, </w:t>
      </w:r>
      <w:hyperlink r:id="rId17" w:history="1">
        <w:r w:rsidR="00F7746F" w:rsidRPr="00F7746F">
          <w:rPr>
            <w:rStyle w:val="Hyperlink"/>
            <w:szCs w:val="22"/>
          </w:rPr>
          <w:t>Accounting for and Auditing of Digital Assets</w:t>
        </w:r>
      </w:hyperlink>
      <w:r w:rsidR="00F7746F" w:rsidRPr="00F7746F">
        <w:rPr>
          <w:i/>
          <w:iCs/>
          <w:szCs w:val="22"/>
        </w:rPr>
        <w:t>,</w:t>
      </w:r>
      <w:r w:rsidR="00F7746F" w:rsidRPr="00F7746F">
        <w:rPr>
          <w:szCs w:val="22"/>
        </w:rPr>
        <w:t xml:space="preserve"> </w:t>
      </w:r>
      <w:r w:rsidR="00A81D12">
        <w:rPr>
          <w:szCs w:val="22"/>
        </w:rPr>
        <w:t>will be</w:t>
      </w:r>
      <w:r w:rsidR="00F7746F" w:rsidRPr="00F7746F">
        <w:rPr>
          <w:szCs w:val="22"/>
        </w:rPr>
        <w:t xml:space="preserve"> updated</w:t>
      </w:r>
      <w:r w:rsidR="00A81D12">
        <w:rPr>
          <w:szCs w:val="22"/>
        </w:rPr>
        <w:t xml:space="preserve"> soon</w:t>
      </w:r>
      <w:r w:rsidR="00F7746F" w:rsidRPr="00F7746F">
        <w:rPr>
          <w:szCs w:val="22"/>
        </w:rPr>
        <w:t xml:space="preserve"> to include two new auditing chapters covering key assertions for consideration when performing engagements involving digital assets: </w:t>
      </w:r>
    </w:p>
    <w:p w14:paraId="6011E5BB" w14:textId="45746323" w:rsidR="00F7746F" w:rsidRPr="00F7746F" w:rsidRDefault="00F7746F" w:rsidP="00B1762E">
      <w:pPr>
        <w:numPr>
          <w:ilvl w:val="0"/>
          <w:numId w:val="14"/>
        </w:numPr>
        <w:spacing w:after="0" w:line="259" w:lineRule="auto"/>
        <w:rPr>
          <w:b/>
          <w:bCs/>
          <w:szCs w:val="22"/>
        </w:rPr>
      </w:pPr>
      <w:r w:rsidRPr="00F7746F">
        <w:rPr>
          <w:b/>
          <w:bCs/>
          <w:szCs w:val="22"/>
        </w:rPr>
        <w:t>Considerations for existence, rights &amp; obligations</w:t>
      </w:r>
    </w:p>
    <w:p w14:paraId="0C7FC7F9" w14:textId="626473D9" w:rsidR="00F7746F" w:rsidRPr="00F7746F" w:rsidRDefault="00F7746F" w:rsidP="00B1762E">
      <w:pPr>
        <w:pStyle w:val="ListParagraph"/>
        <w:spacing w:line="259" w:lineRule="auto"/>
        <w:jc w:val="left"/>
        <w:rPr>
          <w:rFonts w:ascii="Arial" w:hAnsi="Arial" w:cs="Arial"/>
          <w:sz w:val="22"/>
          <w:szCs w:val="22"/>
        </w:rPr>
      </w:pPr>
      <w:r w:rsidRPr="00F7746F">
        <w:rPr>
          <w:rFonts w:ascii="Arial" w:hAnsi="Arial" w:cs="Arial"/>
          <w:sz w:val="22"/>
          <w:szCs w:val="22"/>
        </w:rPr>
        <w:t xml:space="preserve">This chapter not only provides audit procedures that may be performed for digital assets that are both self-custodied and held by third parties, but it also includes guidance related to evaluating the reliability of information obtained from a blockchain. In addition, guidance includes three approaches that auditors might take to obtain information from a blockchain, and considerations for digital asset confirmations. </w:t>
      </w:r>
    </w:p>
    <w:p w14:paraId="1D274485" w14:textId="79E18038" w:rsidR="00F7746F" w:rsidRPr="00F7746F" w:rsidRDefault="00F7746F" w:rsidP="00B1762E">
      <w:pPr>
        <w:numPr>
          <w:ilvl w:val="0"/>
          <w:numId w:val="11"/>
        </w:numPr>
        <w:spacing w:after="0" w:line="259" w:lineRule="auto"/>
        <w:rPr>
          <w:b/>
          <w:bCs/>
          <w:szCs w:val="22"/>
        </w:rPr>
      </w:pPr>
      <w:r w:rsidRPr="00F7746F">
        <w:rPr>
          <w:b/>
          <w:bCs/>
          <w:szCs w:val="22"/>
        </w:rPr>
        <w:t>Considerations for valuation</w:t>
      </w:r>
    </w:p>
    <w:p w14:paraId="6E0D7AB9" w14:textId="5E672A82" w:rsidR="00F7746F" w:rsidRPr="00F7746F" w:rsidRDefault="00F7746F" w:rsidP="00B1762E">
      <w:pPr>
        <w:pStyle w:val="ListParagraph"/>
        <w:spacing w:after="120" w:line="259" w:lineRule="auto"/>
        <w:contextualSpacing w:val="0"/>
        <w:jc w:val="left"/>
        <w:rPr>
          <w:rFonts w:ascii="Arial" w:hAnsi="Arial" w:cs="Arial"/>
          <w:sz w:val="22"/>
          <w:szCs w:val="22"/>
        </w:rPr>
      </w:pPr>
      <w:r w:rsidRPr="00F7746F">
        <w:rPr>
          <w:rFonts w:ascii="Arial" w:hAnsi="Arial" w:cs="Arial"/>
          <w:sz w:val="22"/>
          <w:szCs w:val="22"/>
        </w:rPr>
        <w:t xml:space="preserve">This chapter provides considerations for procedures that an auditor may consider when measuring digital assets using prices in active or thinly traded markets. For those digital assets that are accounted for as indefinite-lived intangible assets, considerations are included to evaluate the entity’s impairment analysis. In addition, there are </w:t>
      </w:r>
      <w:proofErr w:type="gramStart"/>
      <w:r w:rsidRPr="00F7746F">
        <w:rPr>
          <w:rFonts w:ascii="Arial" w:hAnsi="Arial" w:cs="Arial"/>
          <w:sz w:val="22"/>
          <w:szCs w:val="22"/>
        </w:rPr>
        <w:t>a number of</w:t>
      </w:r>
      <w:proofErr w:type="gramEnd"/>
      <w:r w:rsidRPr="00F7746F">
        <w:rPr>
          <w:rFonts w:ascii="Arial" w:hAnsi="Arial" w:cs="Arial"/>
          <w:sz w:val="22"/>
          <w:szCs w:val="22"/>
        </w:rPr>
        <w:t xml:space="preserve"> procedures included that may be considered to be performed when an entity sells or exchanges its digital assets and recognizes realized gains or losses. </w:t>
      </w:r>
    </w:p>
    <w:p w14:paraId="6238F89A" w14:textId="73B61EDA" w:rsidR="00F7746F" w:rsidRPr="00F7746F" w:rsidRDefault="00F7746F" w:rsidP="00B1762E">
      <w:pPr>
        <w:pStyle w:val="ListParagraph"/>
        <w:spacing w:after="120" w:line="259" w:lineRule="auto"/>
        <w:ind w:left="43"/>
        <w:contextualSpacing w:val="0"/>
        <w:jc w:val="left"/>
        <w:rPr>
          <w:rFonts w:ascii="Arial" w:hAnsi="Arial" w:cs="Arial"/>
          <w:sz w:val="22"/>
          <w:szCs w:val="22"/>
        </w:rPr>
      </w:pPr>
      <w:proofErr w:type="gramStart"/>
      <w:r w:rsidRPr="00F7746F">
        <w:rPr>
          <w:rFonts w:ascii="Arial" w:hAnsi="Arial" w:cs="Arial"/>
          <w:sz w:val="22"/>
          <w:szCs w:val="22"/>
        </w:rPr>
        <w:t>In order to</w:t>
      </w:r>
      <w:proofErr w:type="gramEnd"/>
      <w:r w:rsidRPr="00F7746F">
        <w:rPr>
          <w:rFonts w:ascii="Arial" w:hAnsi="Arial" w:cs="Arial"/>
          <w:sz w:val="22"/>
          <w:szCs w:val="22"/>
        </w:rPr>
        <w:t xml:space="preserve"> provide more pointed guidance, these chapters are in Q&amp;A format. In addition to the new chapters, Appendix B, </w:t>
      </w:r>
      <w:r w:rsidRPr="00F7746F">
        <w:rPr>
          <w:rFonts w:ascii="Arial" w:hAnsi="Arial" w:cs="Arial"/>
          <w:i/>
          <w:iCs/>
          <w:sz w:val="22"/>
          <w:szCs w:val="22"/>
        </w:rPr>
        <w:t>Staff Accounting Bulletin No. 121</w:t>
      </w:r>
      <w:r w:rsidRPr="00F7746F">
        <w:rPr>
          <w:rFonts w:ascii="Arial" w:hAnsi="Arial" w:cs="Arial"/>
          <w:sz w:val="22"/>
          <w:szCs w:val="22"/>
        </w:rPr>
        <w:t>, was expanded to include an auditing Q&amp;A that contains procedures that may be performed in response to identified risks of material misstatement associated with safeguarding liabilities and safeguarding assets recorded in accordance with Staff Accounting Bulletin No. 121.</w:t>
      </w:r>
    </w:p>
    <w:p w14:paraId="3EA61824" w14:textId="34075C8B" w:rsidR="00F7746F" w:rsidRDefault="00F7746F" w:rsidP="00B1762E">
      <w:pPr>
        <w:spacing w:after="0" w:line="240" w:lineRule="auto"/>
        <w:ind w:left="43" w:firstLine="0"/>
        <w:rPr>
          <w:szCs w:val="22"/>
        </w:rPr>
      </w:pPr>
      <w:r w:rsidRPr="00F7746F">
        <w:rPr>
          <w:szCs w:val="22"/>
        </w:rPr>
        <w:t xml:space="preserve">See the Fall 2023, Spring 2022, and Spring 2021 PR Prompts for more background on the practice aid, and additional AICPA resources specific to both blockchain and digital assets. </w:t>
      </w:r>
    </w:p>
    <w:p w14:paraId="5345421E" w14:textId="1EB42B52" w:rsidR="00940879" w:rsidRDefault="004966CF" w:rsidP="00940879">
      <w:pPr>
        <w:tabs>
          <w:tab w:val="left" w:pos="4503"/>
        </w:tabs>
        <w:spacing w:after="0" w:line="240" w:lineRule="auto"/>
        <w:ind w:left="57" w:hanging="14"/>
        <w:rPr>
          <w:szCs w:val="22"/>
        </w:rPr>
      </w:pPr>
      <w:r>
        <w:rPr>
          <w:szCs w:val="22"/>
        </w:rPr>
        <w:tab/>
      </w:r>
      <w:bookmarkStart w:id="2" w:name="_Available_Now!_2018"/>
      <w:bookmarkStart w:id="3" w:name="_Peer_Review_Extension"/>
      <w:bookmarkStart w:id="4" w:name="_Single_Audit_Engagements"/>
      <w:bookmarkStart w:id="5" w:name="_Are_Your_Peer"/>
      <w:bookmarkStart w:id="6" w:name="_Yellow_Book_CPE"/>
      <w:bookmarkStart w:id="7" w:name="_Hlk93646994"/>
      <w:bookmarkEnd w:id="2"/>
      <w:bookmarkEnd w:id="3"/>
      <w:bookmarkEnd w:id="4"/>
      <w:bookmarkEnd w:id="5"/>
      <w:bookmarkEnd w:id="6"/>
    </w:p>
    <w:p w14:paraId="720B89F5" w14:textId="24472FE5" w:rsidR="00890A5F" w:rsidRPr="00940879" w:rsidRDefault="00614597" w:rsidP="00614597">
      <w:pPr>
        <w:spacing w:after="160" w:line="278" w:lineRule="auto"/>
        <w:ind w:left="0" w:firstLine="0"/>
        <w:rPr>
          <w:b/>
          <w:bCs/>
          <w:color w:val="72246C"/>
          <w:sz w:val="28"/>
          <w:szCs w:val="28"/>
        </w:rPr>
      </w:pPr>
      <w:r>
        <w:rPr>
          <w:b/>
          <w:bCs/>
          <w:color w:val="72246C"/>
          <w:sz w:val="28"/>
          <w:szCs w:val="28"/>
        </w:rPr>
        <w:br w:type="page"/>
      </w:r>
      <w:r w:rsidR="00890A5F" w:rsidRPr="00940879">
        <w:rPr>
          <w:b/>
          <w:bCs/>
          <w:color w:val="72246C"/>
          <w:sz w:val="28"/>
          <w:szCs w:val="28"/>
        </w:rPr>
        <w:lastRenderedPageBreak/>
        <w:t>Governmental</w:t>
      </w:r>
    </w:p>
    <w:p w14:paraId="72CA5C79" w14:textId="7C764B6B" w:rsidR="0064331D" w:rsidRPr="00890A5F" w:rsidRDefault="00105E9B" w:rsidP="00201692">
      <w:pPr>
        <w:pStyle w:val="Heading1"/>
        <w:spacing w:after="0"/>
        <w:rPr>
          <w:b w:val="0"/>
          <w:bCs/>
          <w:szCs w:val="28"/>
        </w:rPr>
      </w:pPr>
      <w:r>
        <w:rPr>
          <w:noProof/>
          <w:szCs w:val="22"/>
        </w:rPr>
        <w:drawing>
          <wp:anchor distT="0" distB="0" distL="114300" distR="114300" simplePos="0" relativeHeight="251668480" behindDoc="1" locked="0" layoutInCell="1" allowOverlap="1" wp14:anchorId="45F51570" wp14:editId="0ACD51DF">
            <wp:simplePos x="0" y="0"/>
            <wp:positionH relativeFrom="column">
              <wp:posOffset>4324350</wp:posOffset>
            </wp:positionH>
            <wp:positionV relativeFrom="paragraph">
              <wp:posOffset>80645</wp:posOffset>
            </wp:positionV>
            <wp:extent cx="2581275" cy="3235960"/>
            <wp:effectExtent l="0" t="0" r="9525" b="2540"/>
            <wp:wrapTight wrapText="bothSides">
              <wp:wrapPolygon edited="0">
                <wp:start x="0" y="0"/>
                <wp:lineTo x="0" y="21490"/>
                <wp:lineTo x="21520" y="21490"/>
                <wp:lineTo x="21520" y="0"/>
                <wp:lineTo x="0" y="0"/>
              </wp:wrapPolygon>
            </wp:wrapTight>
            <wp:docPr id="953305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1275" cy="3235960"/>
                    </a:xfrm>
                    <a:prstGeom prst="rect">
                      <a:avLst/>
                    </a:prstGeom>
                    <a:noFill/>
                  </pic:spPr>
                </pic:pic>
              </a:graphicData>
            </a:graphic>
            <wp14:sizeRelH relativeFrom="page">
              <wp14:pctWidth>0</wp14:pctWidth>
            </wp14:sizeRelH>
            <wp14:sizeRelV relativeFrom="page">
              <wp14:pctHeight>0</wp14:pctHeight>
            </wp14:sizeRelV>
          </wp:anchor>
        </w:drawing>
      </w:r>
      <w:r w:rsidR="0064331D" w:rsidRPr="00890A5F">
        <w:rPr>
          <w:b w:val="0"/>
          <w:bCs/>
          <w:szCs w:val="28"/>
        </w:rPr>
        <w:t>Yellow Book CPE requirements: Are you ready?</w:t>
      </w:r>
    </w:p>
    <w:bookmarkEnd w:id="7"/>
    <w:p w14:paraId="3FCC462D" w14:textId="77BA2AD8" w:rsidR="0064331D" w:rsidRPr="00106E3B" w:rsidRDefault="0064331D" w:rsidP="0023313B">
      <w:pPr>
        <w:spacing w:after="120"/>
        <w:rPr>
          <w:szCs w:val="22"/>
        </w:rPr>
      </w:pPr>
      <w:r w:rsidRPr="00106E3B">
        <w:rPr>
          <w:szCs w:val="22"/>
        </w:rPr>
        <w:t>A common question firms are asking AICPA Peer Review staff is what exactly is required related to the Yellow Book continuing professional education (CPE) requirements</w:t>
      </w:r>
      <w:r>
        <w:rPr>
          <w:szCs w:val="22"/>
        </w:rPr>
        <w:t>.</w:t>
      </w:r>
      <w:r w:rsidRPr="00106E3B">
        <w:rPr>
          <w:szCs w:val="22"/>
        </w:rPr>
        <w:t xml:space="preserve"> Chapter 4 of the 2018 revision of </w:t>
      </w:r>
      <w:r w:rsidRPr="00106E3B">
        <w:rPr>
          <w:i/>
          <w:iCs/>
          <w:szCs w:val="22"/>
        </w:rPr>
        <w:t>Government Auditing Standards</w:t>
      </w:r>
      <w:r w:rsidRPr="00106E3B">
        <w:rPr>
          <w:szCs w:val="22"/>
        </w:rPr>
        <w:t xml:space="preserve">, also referred to as GAGAS or the 2018 Yellow Book, can be referred to by auditors for a complete understanding of the CPE requirements, including application guidance on CPE subject matter. </w:t>
      </w:r>
    </w:p>
    <w:p w14:paraId="79AB1E6D" w14:textId="33FD06AB" w:rsidR="0064331D" w:rsidRPr="00106E3B" w:rsidRDefault="0064331D" w:rsidP="0023313B">
      <w:pPr>
        <w:spacing w:after="120"/>
        <w:rPr>
          <w:szCs w:val="22"/>
        </w:rPr>
      </w:pPr>
      <w:r w:rsidRPr="00106E3B">
        <w:rPr>
          <w:szCs w:val="22"/>
        </w:rPr>
        <w:t xml:space="preserve">The following provides a high-level summary of the requirements. </w:t>
      </w:r>
    </w:p>
    <w:p w14:paraId="34BB3DD3" w14:textId="4C3F37EB" w:rsidR="0064331D" w:rsidRPr="00106E3B" w:rsidRDefault="0064331D" w:rsidP="0023313B">
      <w:pPr>
        <w:spacing w:after="120"/>
        <w:rPr>
          <w:szCs w:val="22"/>
        </w:rPr>
      </w:pPr>
      <w:r w:rsidRPr="00106E3B">
        <w:rPr>
          <w:szCs w:val="22"/>
        </w:rPr>
        <w:t xml:space="preserve">Each auditor who plans, directs, performs procedures for, or reports on engagements conducted in accordance with the 2018 Yellow Book should complete at least 80 hours of CPE in every 2-year period as follows: (GAS paragraph 4.16) </w:t>
      </w:r>
    </w:p>
    <w:p w14:paraId="0E3F95CE" w14:textId="5F0F40F2" w:rsidR="0064331D" w:rsidRPr="00106E3B" w:rsidRDefault="0064331D" w:rsidP="0023313B">
      <w:pPr>
        <w:numPr>
          <w:ilvl w:val="0"/>
          <w:numId w:val="15"/>
        </w:numPr>
        <w:spacing w:after="120"/>
        <w:ind w:left="720"/>
        <w:contextualSpacing/>
        <w:rPr>
          <w:szCs w:val="22"/>
        </w:rPr>
      </w:pPr>
      <w:r w:rsidRPr="00106E3B">
        <w:rPr>
          <w:szCs w:val="22"/>
        </w:rPr>
        <w:t xml:space="preserve">24 CPE hours should be in a subject matter directly related to the government environment, government auditing, or the specific or unique environment in which the audited entity operates (refer to GAS paragraph 4.23 for subject matter that qualifies to meet the 24-hour requirement). </w:t>
      </w:r>
    </w:p>
    <w:p w14:paraId="694B0202" w14:textId="3BE6478A" w:rsidR="00C806C0" w:rsidRPr="00D92300" w:rsidRDefault="0064331D" w:rsidP="0023313B">
      <w:pPr>
        <w:numPr>
          <w:ilvl w:val="0"/>
          <w:numId w:val="15"/>
        </w:numPr>
        <w:spacing w:after="120"/>
        <w:ind w:left="720"/>
        <w:rPr>
          <w:szCs w:val="22"/>
        </w:rPr>
      </w:pPr>
      <w:r w:rsidRPr="00106E3B">
        <w:rPr>
          <w:szCs w:val="22"/>
        </w:rPr>
        <w:t xml:space="preserve">56 CPE hours should be in a subject matter that directly enhances the auditors’ professional expertise to conduct </w:t>
      </w:r>
      <w:r w:rsidR="006F6309">
        <w:rPr>
          <w:szCs w:val="22"/>
        </w:rPr>
        <w:t>engagements</w:t>
      </w:r>
      <w:r w:rsidRPr="00106E3B">
        <w:rPr>
          <w:szCs w:val="22"/>
        </w:rPr>
        <w:t xml:space="preserve"> (refer to GAS paragraph 4.24 for subject matter that qualifies to meet the 56-hour requirement). </w:t>
      </w:r>
    </w:p>
    <w:p w14:paraId="10FD9B01" w14:textId="4EF20C76" w:rsidR="0064331D" w:rsidRPr="00106E3B" w:rsidRDefault="0064331D" w:rsidP="0023313B">
      <w:pPr>
        <w:spacing w:after="120"/>
        <w:rPr>
          <w:szCs w:val="22"/>
        </w:rPr>
      </w:pPr>
      <w:r w:rsidRPr="00106E3B">
        <w:rPr>
          <w:szCs w:val="22"/>
        </w:rPr>
        <w:t>Certain topics may not quali</w:t>
      </w:r>
      <w:r w:rsidR="00D37AAD">
        <w:rPr>
          <w:szCs w:val="22"/>
        </w:rPr>
        <w:t>fy</w:t>
      </w:r>
      <w:r w:rsidRPr="00106E3B">
        <w:rPr>
          <w:szCs w:val="22"/>
        </w:rPr>
        <w:t xml:space="preserve"> as CPE for purposes of satisfying 2018 Yellow Book requirements (refer to GAS paragraphs 4.35-.36 for subject matter that may not qualify for CPE hours under the 2018 Yellow Book). </w:t>
      </w:r>
    </w:p>
    <w:p w14:paraId="11111575" w14:textId="422A57A5" w:rsidR="0064331D" w:rsidRPr="00106E3B" w:rsidRDefault="0064331D" w:rsidP="0023313B">
      <w:pPr>
        <w:spacing w:after="120"/>
        <w:rPr>
          <w:szCs w:val="22"/>
        </w:rPr>
      </w:pPr>
      <w:r w:rsidRPr="00106E3B">
        <w:rPr>
          <w:szCs w:val="22"/>
        </w:rPr>
        <w:t>Within the subject matter categories outlined in the 2018 Yellow Book’s application guidance, determining what subjects are appropriate for individual auditors is a matter of professional judgement. The audit organization is ultimately responsible for determining whether a subject or topic qualifies as acceptable CPE for its auditors (GAS paragraph 4.21).</w:t>
      </w:r>
    </w:p>
    <w:p w14:paraId="22867C14" w14:textId="489A4CBC" w:rsidR="0064331D" w:rsidRPr="00106E3B" w:rsidRDefault="0064331D" w:rsidP="0023313B">
      <w:pPr>
        <w:spacing w:after="120"/>
        <w:rPr>
          <w:szCs w:val="22"/>
        </w:rPr>
      </w:pPr>
      <w:r w:rsidRPr="00106E3B">
        <w:rPr>
          <w:szCs w:val="22"/>
        </w:rPr>
        <w:t>For more information on Yellow Book engagements, consider the following resources:</w:t>
      </w:r>
    </w:p>
    <w:p w14:paraId="1C52CEEE" w14:textId="5BC6921D" w:rsidR="0064331D" w:rsidRPr="00106E3B" w:rsidRDefault="0064331D" w:rsidP="0023313B">
      <w:pPr>
        <w:numPr>
          <w:ilvl w:val="0"/>
          <w:numId w:val="16"/>
        </w:numPr>
        <w:spacing w:after="120"/>
        <w:contextualSpacing/>
        <w:rPr>
          <w:szCs w:val="22"/>
        </w:rPr>
      </w:pPr>
      <w:r w:rsidRPr="00106E3B">
        <w:rPr>
          <w:szCs w:val="22"/>
        </w:rPr>
        <w:t xml:space="preserve">To view the 2018 Yellow Book, </w:t>
      </w:r>
      <w:hyperlink r:id="rId19" w:history="1">
        <w:r w:rsidR="008D1F8C">
          <w:rPr>
            <w:rStyle w:val="Hyperlink"/>
            <w:szCs w:val="22"/>
          </w:rPr>
          <w:t>GAO Yellow Book web page</w:t>
        </w:r>
      </w:hyperlink>
      <w:r w:rsidRPr="00106E3B">
        <w:rPr>
          <w:szCs w:val="22"/>
          <w:u w:val="single"/>
        </w:rPr>
        <w:t xml:space="preserve"> </w:t>
      </w:r>
    </w:p>
    <w:p w14:paraId="2FD934C3" w14:textId="4B35FF2F" w:rsidR="0064331D" w:rsidRPr="00106E3B" w:rsidRDefault="0064331D" w:rsidP="0023313B">
      <w:pPr>
        <w:numPr>
          <w:ilvl w:val="0"/>
          <w:numId w:val="16"/>
        </w:numPr>
        <w:spacing w:after="120"/>
        <w:contextualSpacing/>
        <w:rPr>
          <w:szCs w:val="22"/>
        </w:rPr>
      </w:pPr>
      <w:r w:rsidRPr="00106E3B">
        <w:rPr>
          <w:szCs w:val="22"/>
        </w:rPr>
        <w:t xml:space="preserve">For Yellow Book practice aids and tools, AICPA’s </w:t>
      </w:r>
      <w:hyperlink r:id="rId20" w:history="1">
        <w:r w:rsidRPr="00106E3B">
          <w:rPr>
            <w:rStyle w:val="Hyperlink"/>
            <w:szCs w:val="22"/>
          </w:rPr>
          <w:t>Governmental Audit Quality Center</w:t>
        </w:r>
      </w:hyperlink>
    </w:p>
    <w:p w14:paraId="33FDEDAA" w14:textId="164653DB" w:rsidR="00614597" w:rsidRPr="00614597" w:rsidRDefault="00614597" w:rsidP="0023313B">
      <w:pPr>
        <w:numPr>
          <w:ilvl w:val="0"/>
          <w:numId w:val="16"/>
        </w:numPr>
        <w:spacing w:after="120"/>
        <w:rPr>
          <w:iCs/>
          <w:sz w:val="28"/>
          <w:szCs w:val="28"/>
        </w:rPr>
      </w:pPr>
      <w:r>
        <w:rPr>
          <w:rStyle w:val="Hyperlink"/>
          <w:noProof/>
          <w:szCs w:val="22"/>
        </w:rPr>
        <w:drawing>
          <wp:anchor distT="0" distB="0" distL="114300" distR="114300" simplePos="0" relativeHeight="251674624" behindDoc="1" locked="0" layoutInCell="1" allowOverlap="1" wp14:anchorId="44CCBBF2" wp14:editId="3D713F2E">
            <wp:simplePos x="0" y="0"/>
            <wp:positionH relativeFrom="column">
              <wp:posOffset>-38100</wp:posOffset>
            </wp:positionH>
            <wp:positionV relativeFrom="paragraph">
              <wp:posOffset>489585</wp:posOffset>
            </wp:positionV>
            <wp:extent cx="1828800" cy="1107440"/>
            <wp:effectExtent l="0" t="0" r="0" b="0"/>
            <wp:wrapTight wrapText="bothSides">
              <wp:wrapPolygon edited="0">
                <wp:start x="0" y="0"/>
                <wp:lineTo x="0" y="21179"/>
                <wp:lineTo x="21375" y="21179"/>
                <wp:lineTo x="21375" y="0"/>
                <wp:lineTo x="0" y="0"/>
              </wp:wrapPolygon>
            </wp:wrapTight>
            <wp:docPr id="12189759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107440"/>
                    </a:xfrm>
                    <a:prstGeom prst="rect">
                      <a:avLst/>
                    </a:prstGeom>
                    <a:noFill/>
                  </pic:spPr>
                </pic:pic>
              </a:graphicData>
            </a:graphic>
            <wp14:sizeRelH relativeFrom="page">
              <wp14:pctWidth>0</wp14:pctWidth>
            </wp14:sizeRelH>
            <wp14:sizeRelV relativeFrom="page">
              <wp14:pctHeight>0</wp14:pctHeight>
            </wp14:sizeRelV>
          </wp:anchor>
        </w:drawing>
      </w:r>
      <w:r w:rsidR="0064331D" w:rsidRPr="00614597">
        <w:rPr>
          <w:szCs w:val="22"/>
        </w:rPr>
        <w:t xml:space="preserve">To assist in understanding auditor's responsibilities when </w:t>
      </w:r>
      <w:r w:rsidR="0023313B">
        <w:rPr>
          <w:szCs w:val="22"/>
        </w:rPr>
        <w:t>auditing</w:t>
      </w:r>
      <w:r w:rsidR="0064331D" w:rsidRPr="00614597">
        <w:rPr>
          <w:szCs w:val="22"/>
        </w:rPr>
        <w:t xml:space="preserve"> financial statements in accordance with the Yellow Book, </w:t>
      </w:r>
      <w:hyperlink r:id="rId22" w:history="1">
        <w:r w:rsidR="0064331D" w:rsidRPr="00614597">
          <w:rPr>
            <w:rStyle w:val="Hyperlink"/>
            <w:i/>
            <w:iCs/>
            <w:szCs w:val="22"/>
          </w:rPr>
          <w:t>AICPA Government Auditing Standards</w:t>
        </w:r>
        <w:r w:rsidR="0064331D" w:rsidRPr="00614597">
          <w:rPr>
            <w:rStyle w:val="Hyperlink"/>
            <w:szCs w:val="22"/>
          </w:rPr>
          <w:t xml:space="preserve"> and Single Audits Audit Guide </w:t>
        </w:r>
      </w:hyperlink>
      <w:r w:rsidR="0064331D" w:rsidRPr="00614597">
        <w:rPr>
          <w:szCs w:val="22"/>
        </w:rPr>
        <w:t xml:space="preserve"> </w:t>
      </w:r>
      <w:bookmarkStart w:id="8" w:name="_GAQC_resources_and"/>
      <w:bookmarkStart w:id="9" w:name="Additional"/>
      <w:bookmarkEnd w:id="8"/>
    </w:p>
    <w:p w14:paraId="29163185" w14:textId="65D8396B" w:rsidR="0064331D" w:rsidRPr="00614597" w:rsidRDefault="0064331D" w:rsidP="00614597">
      <w:pPr>
        <w:pStyle w:val="Heading1"/>
        <w:spacing w:after="0"/>
        <w:rPr>
          <w:b w:val="0"/>
          <w:bCs/>
          <w:szCs w:val="28"/>
        </w:rPr>
      </w:pPr>
      <w:r w:rsidRPr="00614597">
        <w:rPr>
          <w:b w:val="0"/>
          <w:bCs/>
          <w:szCs w:val="28"/>
        </w:rPr>
        <w:t>GAQC resources and tools for Auditors</w:t>
      </w:r>
    </w:p>
    <w:bookmarkEnd w:id="9"/>
    <w:p w14:paraId="537686C5" w14:textId="21F54F4E" w:rsidR="0064331D" w:rsidRPr="00106E3B" w:rsidRDefault="0064331D" w:rsidP="00724AE6">
      <w:pPr>
        <w:spacing w:after="120"/>
        <w:rPr>
          <w:szCs w:val="22"/>
        </w:rPr>
      </w:pPr>
      <w:r w:rsidRPr="00106E3B">
        <w:rPr>
          <w:szCs w:val="22"/>
        </w:rPr>
        <w:t xml:space="preserve">The AICPA Governmental Audit Quality Center (GAQC) has developed resources that can assist you in performing engagements under </w:t>
      </w:r>
      <w:r w:rsidRPr="00106E3B">
        <w:rPr>
          <w:i/>
          <w:szCs w:val="22"/>
        </w:rPr>
        <w:t>Government Auditing Standards</w:t>
      </w:r>
      <w:r>
        <w:rPr>
          <w:szCs w:val="22"/>
        </w:rPr>
        <w:t xml:space="preserve"> and </w:t>
      </w:r>
      <w:r w:rsidRPr="00106E3B">
        <w:rPr>
          <w:szCs w:val="22"/>
        </w:rPr>
        <w:t>single audits. As a public service, the GAQC periodically leaves certain resources open to the public. These resources include, but are not limited to:</w:t>
      </w:r>
    </w:p>
    <w:p w14:paraId="051D0A0A" w14:textId="54DFBF94" w:rsidR="0064331D" w:rsidRPr="00106E3B" w:rsidRDefault="00A81D12" w:rsidP="00860361">
      <w:pPr>
        <w:numPr>
          <w:ilvl w:val="0"/>
          <w:numId w:val="17"/>
        </w:numPr>
        <w:spacing w:after="120" w:line="240" w:lineRule="auto"/>
        <w:contextualSpacing/>
        <w:rPr>
          <w:szCs w:val="22"/>
        </w:rPr>
      </w:pPr>
      <w:hyperlink r:id="rId23" w:history="1">
        <w:r w:rsidR="0064331D" w:rsidRPr="00106E3B">
          <w:rPr>
            <w:rStyle w:val="Hyperlink"/>
            <w:szCs w:val="22"/>
          </w:rPr>
          <w:t>OMB Compliance Supplement Resource Center</w:t>
        </w:r>
      </w:hyperlink>
    </w:p>
    <w:p w14:paraId="4616C646" w14:textId="77777777" w:rsidR="0064331D" w:rsidRPr="00106E3B" w:rsidRDefault="00A81D12" w:rsidP="00860361">
      <w:pPr>
        <w:numPr>
          <w:ilvl w:val="0"/>
          <w:numId w:val="17"/>
        </w:numPr>
        <w:spacing w:after="120" w:line="240" w:lineRule="auto"/>
        <w:contextualSpacing/>
        <w:rPr>
          <w:szCs w:val="22"/>
        </w:rPr>
      </w:pPr>
      <w:hyperlink r:id="rId24" w:history="1">
        <w:r w:rsidR="0064331D" w:rsidRPr="00106E3B">
          <w:rPr>
            <w:rStyle w:val="Hyperlink"/>
            <w:szCs w:val="22"/>
          </w:rPr>
          <w:t>GAQC Archived COVID-19 Resources</w:t>
        </w:r>
      </w:hyperlink>
      <w:r w:rsidR="0064331D" w:rsidRPr="00106E3B">
        <w:rPr>
          <w:szCs w:val="22"/>
        </w:rPr>
        <w:t xml:space="preserve"> </w:t>
      </w:r>
    </w:p>
    <w:p w14:paraId="72C13E73" w14:textId="77777777" w:rsidR="0064331D" w:rsidRPr="00106E3B" w:rsidRDefault="00A81D12" w:rsidP="00860361">
      <w:pPr>
        <w:numPr>
          <w:ilvl w:val="0"/>
          <w:numId w:val="17"/>
        </w:numPr>
        <w:spacing w:after="120" w:line="240" w:lineRule="auto"/>
        <w:contextualSpacing/>
        <w:rPr>
          <w:szCs w:val="22"/>
        </w:rPr>
      </w:pPr>
      <w:hyperlink r:id="rId25" w:history="1">
        <w:r w:rsidR="0064331D" w:rsidRPr="00106E3B">
          <w:rPr>
            <w:rStyle w:val="Hyperlink"/>
            <w:szCs w:val="22"/>
          </w:rPr>
          <w:t xml:space="preserve">GAQC Alerts </w:t>
        </w:r>
      </w:hyperlink>
      <w:r w:rsidR="0064331D" w:rsidRPr="00106E3B">
        <w:rPr>
          <w:szCs w:val="22"/>
        </w:rPr>
        <w:t xml:space="preserve"> </w:t>
      </w:r>
    </w:p>
    <w:p w14:paraId="7A85A581" w14:textId="77777777" w:rsidR="0064331D" w:rsidRPr="00106E3B" w:rsidRDefault="00A81D12" w:rsidP="00860361">
      <w:pPr>
        <w:numPr>
          <w:ilvl w:val="0"/>
          <w:numId w:val="17"/>
        </w:numPr>
        <w:spacing w:after="120" w:line="240" w:lineRule="auto"/>
        <w:contextualSpacing/>
        <w:rPr>
          <w:szCs w:val="22"/>
        </w:rPr>
      </w:pPr>
      <w:hyperlink r:id="rId26" w:history="1">
        <w:r w:rsidR="0064331D" w:rsidRPr="00106E3B">
          <w:rPr>
            <w:rStyle w:val="Hyperlink"/>
            <w:szCs w:val="22"/>
          </w:rPr>
          <w:t>GAQC Archived Web Events</w:t>
        </w:r>
      </w:hyperlink>
      <w:r w:rsidR="0064331D" w:rsidRPr="00106E3B">
        <w:rPr>
          <w:szCs w:val="22"/>
          <w:u w:val="single"/>
        </w:rPr>
        <w:t xml:space="preserve"> </w:t>
      </w:r>
    </w:p>
    <w:p w14:paraId="742B3D12" w14:textId="77777777" w:rsidR="0064331D" w:rsidRPr="00106E3B" w:rsidRDefault="00A81D12" w:rsidP="00860361">
      <w:pPr>
        <w:numPr>
          <w:ilvl w:val="0"/>
          <w:numId w:val="17"/>
        </w:numPr>
        <w:spacing w:after="120" w:line="240" w:lineRule="auto"/>
        <w:contextualSpacing/>
        <w:rPr>
          <w:szCs w:val="22"/>
        </w:rPr>
      </w:pPr>
      <w:hyperlink r:id="rId27" w:history="1">
        <w:r w:rsidR="0064331D" w:rsidRPr="00106E3B">
          <w:rPr>
            <w:rStyle w:val="Hyperlink"/>
            <w:szCs w:val="22"/>
          </w:rPr>
          <w:t>Single Audit Resources</w:t>
        </w:r>
      </w:hyperlink>
      <w:r w:rsidR="0064331D" w:rsidRPr="00106E3B">
        <w:rPr>
          <w:szCs w:val="22"/>
        </w:rPr>
        <w:t xml:space="preserve">  </w:t>
      </w:r>
    </w:p>
    <w:p w14:paraId="69395A49" w14:textId="3943FDF4" w:rsidR="0064331D" w:rsidRPr="00724AE6" w:rsidRDefault="00A81D12" w:rsidP="00724AE6">
      <w:pPr>
        <w:numPr>
          <w:ilvl w:val="0"/>
          <w:numId w:val="17"/>
        </w:numPr>
        <w:spacing w:after="120" w:line="240" w:lineRule="auto"/>
        <w:rPr>
          <w:szCs w:val="22"/>
        </w:rPr>
      </w:pPr>
      <w:hyperlink r:id="rId28" w:history="1">
        <w:r w:rsidR="0064331D" w:rsidRPr="00106E3B">
          <w:rPr>
            <w:rStyle w:val="Hyperlink"/>
            <w:szCs w:val="22"/>
          </w:rPr>
          <w:t>Governmental Illustrative Auditor's Reports</w:t>
        </w:r>
      </w:hyperlink>
      <w:r w:rsidR="0064331D" w:rsidRPr="00106E3B">
        <w:rPr>
          <w:szCs w:val="22"/>
        </w:rPr>
        <w:t xml:space="preserve"> </w:t>
      </w:r>
    </w:p>
    <w:p w14:paraId="19A71F65" w14:textId="47D6AA82" w:rsidR="0064331D" w:rsidRPr="00CC6C13" w:rsidRDefault="0064331D" w:rsidP="00CC6C13">
      <w:pPr>
        <w:spacing w:after="240"/>
        <w:rPr>
          <w:szCs w:val="22"/>
        </w:rPr>
      </w:pPr>
      <w:r w:rsidRPr="00106E3B">
        <w:rPr>
          <w:szCs w:val="22"/>
        </w:rPr>
        <w:lastRenderedPageBreak/>
        <w:t xml:space="preserve">We encourage you to regularly check the </w:t>
      </w:r>
      <w:hyperlink r:id="rId29" w:history="1">
        <w:r w:rsidRPr="00106E3B">
          <w:rPr>
            <w:rStyle w:val="Hyperlink"/>
            <w:szCs w:val="22"/>
          </w:rPr>
          <w:t>GAQC Resources page</w:t>
        </w:r>
      </w:hyperlink>
      <w:r w:rsidRPr="00106E3B">
        <w:rPr>
          <w:szCs w:val="22"/>
          <w:u w:val="single"/>
        </w:rPr>
        <w:t xml:space="preserve"> </w:t>
      </w:r>
      <w:r w:rsidRPr="00106E3B">
        <w:rPr>
          <w:szCs w:val="22"/>
        </w:rPr>
        <w:t>for any new resources and share with your clients, where appropriate, to enhance audit quality within the profession.</w:t>
      </w:r>
    </w:p>
    <w:p w14:paraId="3B6C198B" w14:textId="77777777" w:rsidR="0064331D" w:rsidRPr="00555CBA" w:rsidRDefault="0064331D" w:rsidP="00890A5F">
      <w:pPr>
        <w:pStyle w:val="Heading2"/>
        <w:ind w:left="53"/>
        <w:rPr>
          <w:i w:val="0"/>
          <w:iCs/>
          <w:sz w:val="28"/>
          <w:szCs w:val="28"/>
        </w:rPr>
      </w:pPr>
      <w:r w:rsidRPr="00555CBA">
        <w:rPr>
          <w:i w:val="0"/>
          <w:iCs/>
          <w:sz w:val="28"/>
          <w:szCs w:val="28"/>
        </w:rPr>
        <w:t xml:space="preserve">Single Audit resources from HHS-OIG </w:t>
      </w:r>
    </w:p>
    <w:p w14:paraId="11BE2018" w14:textId="465ED742" w:rsidR="0064331D" w:rsidRPr="00860361" w:rsidRDefault="0064331D" w:rsidP="00A376F5">
      <w:pPr>
        <w:spacing w:after="240"/>
        <w:rPr>
          <w:szCs w:val="22"/>
        </w:rPr>
      </w:pPr>
      <w:r w:rsidRPr="00860361">
        <w:rPr>
          <w:szCs w:val="22"/>
        </w:rPr>
        <w:t xml:space="preserve">The United States Department of Health and Human Services (HHS), Office of Inspector General (OIG) recently posted a </w:t>
      </w:r>
      <w:hyperlink r:id="rId30" w:history="1">
        <w:r w:rsidRPr="00860361">
          <w:rPr>
            <w:rStyle w:val="Hyperlink"/>
            <w:szCs w:val="22"/>
          </w:rPr>
          <w:t>new web page</w:t>
        </w:r>
      </w:hyperlink>
      <w:r w:rsidRPr="00860361">
        <w:rPr>
          <w:szCs w:val="22"/>
        </w:rPr>
        <w:t xml:space="preserve"> in an effort to help stakeholders strengthen their understanding of the scope of single audits and to improve audit quality. HHS is encouraging members of the single audit community to use this page as an educational resource.</w:t>
      </w:r>
    </w:p>
    <w:p w14:paraId="05B95CA7" w14:textId="5E2B9EFE" w:rsidR="0064331D" w:rsidRPr="00860361" w:rsidRDefault="0064331D" w:rsidP="00A376F5">
      <w:pPr>
        <w:spacing w:after="240"/>
        <w:rPr>
          <w:rFonts w:eastAsia="Calibri"/>
          <w:szCs w:val="22"/>
        </w:rPr>
      </w:pPr>
      <w:r w:rsidRPr="00860361">
        <w:rPr>
          <w:rFonts w:eastAsia="Calibri"/>
          <w:szCs w:val="22"/>
        </w:rPr>
        <w:t>If your client expends $750,000</w:t>
      </w:r>
      <w:r w:rsidR="006579BE">
        <w:rPr>
          <w:rStyle w:val="FootnoteReference"/>
          <w:rFonts w:eastAsia="Calibri"/>
          <w:szCs w:val="22"/>
        </w:rPr>
        <w:footnoteReference w:id="9"/>
      </w:r>
      <w:r w:rsidRPr="00860361">
        <w:rPr>
          <w:rFonts w:eastAsia="Calibri"/>
          <w:szCs w:val="22"/>
        </w:rPr>
        <w:t xml:space="preserve"> or more in federal awards in a fiscal year, a single audit is likely required. These funds can be provided directly from the federal agencies or pass-through entities such as state and local agencies or not-for-profit organizations. The single audit is a highly specialized organization-wide audit </w:t>
      </w:r>
      <w:r w:rsidRPr="00860361">
        <w:rPr>
          <w:rFonts w:eastAsia="Calibri"/>
          <w:szCs w:val="22"/>
          <w:shd w:val="clear" w:color="auto" w:fill="FFFFFF"/>
        </w:rPr>
        <w:t xml:space="preserve">intended to provide assurance that a nonfederal entity has adequate internal controls in place and </w:t>
      </w:r>
      <w:proofErr w:type="gramStart"/>
      <w:r w:rsidRPr="00860361">
        <w:rPr>
          <w:rFonts w:eastAsia="Calibri"/>
          <w:szCs w:val="22"/>
          <w:shd w:val="clear" w:color="auto" w:fill="FFFFFF"/>
        </w:rPr>
        <w:t>is in compliance with</w:t>
      </w:r>
      <w:proofErr w:type="gramEnd"/>
      <w:r w:rsidRPr="00860361">
        <w:rPr>
          <w:rFonts w:eastAsia="Calibri"/>
          <w:szCs w:val="22"/>
          <w:shd w:val="clear" w:color="auto" w:fill="FFFFFF"/>
        </w:rPr>
        <w:t xml:space="preserve"> program requirements. Single audits have a significant public interest component as they are relied on by federal agencies as part of their responsibilities for determining compliance with requirements of federal awards by nonfederal entities.</w:t>
      </w:r>
    </w:p>
    <w:p w14:paraId="33242459" w14:textId="2D7E9CAE" w:rsidR="0064331D" w:rsidRPr="00860361" w:rsidRDefault="0064331D" w:rsidP="00A376F5">
      <w:pPr>
        <w:spacing w:after="240"/>
        <w:rPr>
          <w:rFonts w:eastAsia="Calibri"/>
          <w:szCs w:val="22"/>
        </w:rPr>
      </w:pPr>
      <w:r w:rsidRPr="00860361">
        <w:rPr>
          <w:rFonts w:eastAsia="Calibri"/>
          <w:szCs w:val="22"/>
        </w:rPr>
        <w:t>Be sure to check out these resources on single audits:</w:t>
      </w:r>
    </w:p>
    <w:p w14:paraId="0C932E38" w14:textId="6D4D8438" w:rsidR="0064331D" w:rsidRPr="00860361" w:rsidRDefault="00A376F5" w:rsidP="00A376F5">
      <w:pPr>
        <w:pStyle w:val="ListParagraph"/>
        <w:numPr>
          <w:ilvl w:val="0"/>
          <w:numId w:val="18"/>
        </w:numPr>
        <w:spacing w:after="240" w:line="271" w:lineRule="auto"/>
        <w:jc w:val="left"/>
        <w:rPr>
          <w:rFonts w:ascii="Arial" w:eastAsia="Calibri" w:hAnsi="Arial" w:cs="Arial"/>
          <w:sz w:val="22"/>
          <w:szCs w:val="22"/>
        </w:rPr>
      </w:pPr>
      <w:r>
        <w:rPr>
          <w:noProof/>
        </w:rPr>
        <w:drawing>
          <wp:anchor distT="0" distB="0" distL="114300" distR="114300" simplePos="0" relativeHeight="251670528" behindDoc="0" locked="0" layoutInCell="1" allowOverlap="0" wp14:anchorId="0C874493" wp14:editId="1741F221">
            <wp:simplePos x="0" y="0"/>
            <wp:positionH relativeFrom="column">
              <wp:posOffset>3167380</wp:posOffset>
            </wp:positionH>
            <wp:positionV relativeFrom="paragraph">
              <wp:posOffset>4445</wp:posOffset>
            </wp:positionV>
            <wp:extent cx="3814445" cy="2704465"/>
            <wp:effectExtent l="0" t="0" r="0" b="635"/>
            <wp:wrapSquare wrapText="bothSides"/>
            <wp:docPr id="230" name="Picture 230" descr="A magnifying glass with colorful stripes&#10;&#10;Description automatically generated"/>
            <wp:cNvGraphicFramePr/>
            <a:graphic xmlns:a="http://schemas.openxmlformats.org/drawingml/2006/main">
              <a:graphicData uri="http://schemas.openxmlformats.org/drawingml/2006/picture">
                <pic:pic xmlns:pic="http://schemas.openxmlformats.org/drawingml/2006/picture">
                  <pic:nvPicPr>
                    <pic:cNvPr id="230" name="Picture 230" descr="A magnifying glass with colorful stripes&#10;&#10;Description automatically generated"/>
                    <pic:cNvPicPr/>
                  </pic:nvPicPr>
                  <pic:blipFill>
                    <a:blip r:embed="rId31"/>
                    <a:stretch>
                      <a:fillRect/>
                    </a:stretch>
                  </pic:blipFill>
                  <pic:spPr>
                    <a:xfrm>
                      <a:off x="0" y="0"/>
                      <a:ext cx="3814445" cy="2704465"/>
                    </a:xfrm>
                    <a:prstGeom prst="rect">
                      <a:avLst/>
                    </a:prstGeom>
                  </pic:spPr>
                </pic:pic>
              </a:graphicData>
            </a:graphic>
            <wp14:sizeRelH relativeFrom="margin">
              <wp14:pctWidth>0</wp14:pctWidth>
            </wp14:sizeRelH>
            <wp14:sizeRelV relativeFrom="margin">
              <wp14:pctHeight>0</wp14:pctHeight>
            </wp14:sizeRelV>
          </wp:anchor>
        </w:drawing>
      </w:r>
      <w:r w:rsidR="0064331D" w:rsidRPr="00860361">
        <w:rPr>
          <w:rFonts w:ascii="Arial" w:eastAsia="Calibri" w:hAnsi="Arial" w:cs="Arial"/>
          <w:sz w:val="22"/>
          <w:szCs w:val="22"/>
        </w:rPr>
        <w:t xml:space="preserve">To assist in understanding OIG efforts around performing desk reviews and quality control reviews, </w:t>
      </w:r>
      <w:hyperlink r:id="rId32" w:history="1">
        <w:r w:rsidR="0064331D" w:rsidRPr="00860361">
          <w:rPr>
            <w:rStyle w:val="Hyperlink"/>
            <w:rFonts w:ascii="Arial" w:eastAsia="Calibri" w:hAnsi="Arial" w:cs="Arial"/>
            <w:sz w:val="22"/>
            <w:szCs w:val="22"/>
          </w:rPr>
          <w:t>HHS-OIG Oversight Activities</w:t>
        </w:r>
      </w:hyperlink>
      <w:r w:rsidR="0064331D" w:rsidRPr="00860361">
        <w:rPr>
          <w:rFonts w:ascii="Arial" w:eastAsia="Calibri" w:hAnsi="Arial" w:cs="Arial"/>
          <w:sz w:val="22"/>
          <w:szCs w:val="22"/>
        </w:rPr>
        <w:t xml:space="preserve"> </w:t>
      </w:r>
    </w:p>
    <w:p w14:paraId="0560E38D" w14:textId="01701130" w:rsidR="0064331D" w:rsidRPr="00860361" w:rsidRDefault="0064331D" w:rsidP="00A376F5">
      <w:pPr>
        <w:pStyle w:val="ListParagraph"/>
        <w:numPr>
          <w:ilvl w:val="0"/>
          <w:numId w:val="18"/>
        </w:numPr>
        <w:spacing w:after="240" w:line="271" w:lineRule="auto"/>
        <w:jc w:val="left"/>
        <w:rPr>
          <w:rFonts w:ascii="Arial" w:eastAsia="Calibri" w:hAnsi="Arial" w:cs="Arial"/>
          <w:sz w:val="22"/>
          <w:szCs w:val="22"/>
        </w:rPr>
      </w:pPr>
      <w:r w:rsidRPr="00860361">
        <w:rPr>
          <w:rFonts w:ascii="Arial" w:eastAsia="Calibri" w:hAnsi="Arial" w:cs="Arial"/>
          <w:sz w:val="22"/>
          <w:szCs w:val="22"/>
        </w:rPr>
        <w:t xml:space="preserve">For summaries of common single audit quality deficiencies, </w:t>
      </w:r>
      <w:hyperlink r:id="rId33" w:history="1">
        <w:r w:rsidRPr="00860361">
          <w:rPr>
            <w:rStyle w:val="Hyperlink"/>
            <w:rFonts w:ascii="Arial" w:eastAsia="Calibri" w:hAnsi="Arial" w:cs="Arial"/>
            <w:sz w:val="22"/>
            <w:szCs w:val="22"/>
          </w:rPr>
          <w:t>Desk Review Common Quality Deficiencies</w:t>
        </w:r>
      </w:hyperlink>
      <w:r w:rsidRPr="00860361">
        <w:rPr>
          <w:rFonts w:ascii="Arial" w:eastAsia="Calibri" w:hAnsi="Arial" w:cs="Arial"/>
          <w:sz w:val="22"/>
          <w:szCs w:val="22"/>
        </w:rPr>
        <w:t xml:space="preserve"> and </w:t>
      </w:r>
      <w:hyperlink r:id="rId34" w:history="1">
        <w:r w:rsidRPr="00860361">
          <w:rPr>
            <w:rStyle w:val="Hyperlink"/>
            <w:rFonts w:ascii="Arial" w:eastAsia="Calibri" w:hAnsi="Arial" w:cs="Arial"/>
            <w:sz w:val="22"/>
            <w:szCs w:val="22"/>
          </w:rPr>
          <w:t>Quality Control Review Common Quality Deficiencies</w:t>
        </w:r>
      </w:hyperlink>
    </w:p>
    <w:p w14:paraId="71065D74" w14:textId="77777777" w:rsidR="0064331D" w:rsidRPr="00860361" w:rsidRDefault="0064331D" w:rsidP="00A376F5">
      <w:pPr>
        <w:pStyle w:val="ListParagraph"/>
        <w:numPr>
          <w:ilvl w:val="0"/>
          <w:numId w:val="18"/>
        </w:numPr>
        <w:spacing w:after="240" w:line="271" w:lineRule="auto"/>
        <w:jc w:val="left"/>
        <w:rPr>
          <w:rFonts w:ascii="Arial" w:eastAsia="Calibri" w:hAnsi="Arial" w:cs="Arial"/>
          <w:b/>
          <w:bCs/>
          <w:sz w:val="22"/>
          <w:szCs w:val="22"/>
        </w:rPr>
      </w:pPr>
      <w:r w:rsidRPr="00860361">
        <w:rPr>
          <w:rFonts w:ascii="Arial" w:eastAsia="Calibri" w:hAnsi="Arial" w:cs="Arial"/>
          <w:sz w:val="22"/>
          <w:szCs w:val="22"/>
        </w:rPr>
        <w:t xml:space="preserve">For helpful tools used in single audits, </w:t>
      </w:r>
      <w:hyperlink r:id="rId35" w:history="1">
        <w:r w:rsidRPr="00860361">
          <w:rPr>
            <w:rStyle w:val="Hyperlink"/>
            <w:rFonts w:ascii="Arial" w:eastAsia="Calibri" w:hAnsi="Arial" w:cs="Arial"/>
            <w:sz w:val="22"/>
            <w:szCs w:val="22"/>
          </w:rPr>
          <w:t>Compliance Tools and Resources</w:t>
        </w:r>
      </w:hyperlink>
    </w:p>
    <w:p w14:paraId="4A662B94" w14:textId="4F30F4A3" w:rsidR="0064331D" w:rsidRPr="00860361" w:rsidRDefault="0064331D" w:rsidP="00A376F5">
      <w:pPr>
        <w:pStyle w:val="ListParagraph"/>
        <w:numPr>
          <w:ilvl w:val="0"/>
          <w:numId w:val="18"/>
        </w:numPr>
        <w:spacing w:after="240" w:line="271" w:lineRule="auto"/>
        <w:contextualSpacing w:val="0"/>
        <w:jc w:val="left"/>
        <w:rPr>
          <w:rFonts w:ascii="Arial" w:hAnsi="Arial" w:cs="Arial"/>
          <w:sz w:val="22"/>
          <w:szCs w:val="22"/>
        </w:rPr>
      </w:pPr>
      <w:r w:rsidRPr="00860361">
        <w:rPr>
          <w:rFonts w:ascii="Arial" w:eastAsia="Calibri" w:hAnsi="Arial" w:cs="Arial"/>
          <w:sz w:val="22"/>
          <w:szCs w:val="22"/>
        </w:rPr>
        <w:t xml:space="preserve">For informal feedback to the single audit community on single audits, for-profit audits, and foreign audits, </w:t>
      </w:r>
      <w:hyperlink r:id="rId36" w:history="1">
        <w:r w:rsidRPr="00860361">
          <w:rPr>
            <w:rStyle w:val="Hyperlink"/>
            <w:rFonts w:ascii="Arial" w:eastAsia="Calibri" w:hAnsi="Arial" w:cs="Arial"/>
            <w:sz w:val="22"/>
            <w:szCs w:val="22"/>
          </w:rPr>
          <w:t>Frequently Asked Questions</w:t>
        </w:r>
      </w:hyperlink>
    </w:p>
    <w:p w14:paraId="4CA2AE06" w14:textId="5C4BEF12" w:rsidR="0064331D" w:rsidRPr="007F3A15" w:rsidRDefault="0064331D" w:rsidP="00555CBA">
      <w:pPr>
        <w:pStyle w:val="NoSpacing"/>
        <w:ind w:left="43"/>
        <w:rPr>
          <w:rFonts w:ascii="Arial" w:hAnsi="Arial" w:cs="Arial"/>
          <w:iCs/>
          <w:color w:val="72246C"/>
          <w:sz w:val="28"/>
          <w:szCs w:val="28"/>
        </w:rPr>
      </w:pPr>
      <w:r w:rsidRPr="007F3A15">
        <w:rPr>
          <w:rFonts w:ascii="Arial" w:hAnsi="Arial" w:cs="Arial"/>
          <w:iCs/>
          <w:color w:val="72246C"/>
          <w:sz w:val="28"/>
          <w:szCs w:val="28"/>
        </w:rPr>
        <w:t>Peer Review extension reminder!</w:t>
      </w:r>
    </w:p>
    <w:p w14:paraId="43C798B4" w14:textId="4BB97BCD" w:rsidR="0064331D" w:rsidRPr="0098410C" w:rsidRDefault="0064331D" w:rsidP="00A376F5">
      <w:pPr>
        <w:pStyle w:val="NoSpacing"/>
        <w:spacing w:after="120" w:line="271" w:lineRule="auto"/>
        <w:ind w:left="43"/>
        <w:rPr>
          <w:rFonts w:ascii="Arial" w:hAnsi="Arial" w:cs="Arial"/>
          <w:sz w:val="22"/>
          <w:szCs w:val="22"/>
        </w:rPr>
      </w:pPr>
      <w:r w:rsidRPr="00C05B27">
        <w:rPr>
          <w:rFonts w:ascii="Arial" w:hAnsi="Arial" w:cs="Arial"/>
          <w:sz w:val="22"/>
          <w:szCs w:val="22"/>
        </w:rPr>
        <w:t>While peer reviews are no longer receiving automatic due date extensions, extensions may be granted in certain circumstances. If a firm</w:t>
      </w:r>
      <w:r>
        <w:rPr>
          <w:rFonts w:ascii="Arial" w:hAnsi="Arial" w:cs="Arial"/>
          <w:sz w:val="22"/>
          <w:szCs w:val="22"/>
        </w:rPr>
        <w:t xml:space="preserve"> </w:t>
      </w:r>
      <w:r w:rsidRPr="00C05B27">
        <w:rPr>
          <w:rFonts w:ascii="Arial" w:hAnsi="Arial" w:cs="Arial"/>
          <w:sz w:val="22"/>
          <w:szCs w:val="22"/>
        </w:rPr>
        <w:t xml:space="preserve">requesting an extension </w:t>
      </w:r>
      <w:r w:rsidRPr="007208AC">
        <w:rPr>
          <w:rFonts w:ascii="Arial" w:hAnsi="Arial" w:cs="Arial"/>
          <w:sz w:val="22"/>
          <w:szCs w:val="22"/>
        </w:rPr>
        <w:t>conduct</w:t>
      </w:r>
      <w:r>
        <w:rPr>
          <w:rFonts w:ascii="Arial" w:hAnsi="Arial" w:cs="Arial"/>
          <w:sz w:val="22"/>
          <w:szCs w:val="22"/>
        </w:rPr>
        <w:t>s</w:t>
      </w:r>
      <w:r w:rsidRPr="007208AC">
        <w:rPr>
          <w:rFonts w:ascii="Arial" w:hAnsi="Arial" w:cs="Arial"/>
          <w:sz w:val="22"/>
          <w:szCs w:val="22"/>
        </w:rPr>
        <w:t xml:space="preserve"> engagement</w:t>
      </w:r>
      <w:r>
        <w:rPr>
          <w:rFonts w:ascii="Arial" w:hAnsi="Arial" w:cs="Arial"/>
          <w:sz w:val="22"/>
          <w:szCs w:val="22"/>
        </w:rPr>
        <w:t>s</w:t>
      </w:r>
      <w:r w:rsidRPr="007208AC">
        <w:rPr>
          <w:rFonts w:ascii="Arial" w:hAnsi="Arial" w:cs="Arial"/>
          <w:sz w:val="22"/>
          <w:szCs w:val="22"/>
        </w:rPr>
        <w:t xml:space="preserve"> in</w:t>
      </w:r>
      <w:r w:rsidR="0098410C">
        <w:rPr>
          <w:rFonts w:ascii="Arial" w:hAnsi="Arial" w:cs="Arial"/>
          <w:sz w:val="22"/>
          <w:szCs w:val="22"/>
        </w:rPr>
        <w:t xml:space="preserve"> </w:t>
      </w:r>
      <w:r w:rsidRPr="007208AC">
        <w:rPr>
          <w:rFonts w:ascii="Arial" w:hAnsi="Arial" w:cs="Arial"/>
          <w:sz w:val="22"/>
          <w:szCs w:val="22"/>
        </w:rPr>
        <w:t xml:space="preserve">accordance with </w:t>
      </w:r>
      <w:r w:rsidRPr="00D84E73">
        <w:rPr>
          <w:rFonts w:ascii="Arial" w:hAnsi="Arial" w:cs="Arial"/>
          <w:i/>
          <w:iCs/>
          <w:sz w:val="22"/>
          <w:szCs w:val="22"/>
        </w:rPr>
        <w:t>Government Auditing Standards</w:t>
      </w:r>
      <w:r>
        <w:rPr>
          <w:rFonts w:ascii="Arial" w:hAnsi="Arial" w:cs="Arial"/>
          <w:sz w:val="22"/>
          <w:szCs w:val="22"/>
        </w:rPr>
        <w:t>,</w:t>
      </w:r>
      <w:r w:rsidRPr="00C05B27">
        <w:rPr>
          <w:rFonts w:ascii="Arial" w:hAnsi="Arial" w:cs="Arial"/>
          <w:sz w:val="22"/>
          <w:szCs w:val="22"/>
        </w:rPr>
        <w:t xml:space="preserve"> </w:t>
      </w:r>
      <w:r w:rsidRPr="00C05B27">
        <w:rPr>
          <w:rFonts w:ascii="Arial" w:eastAsia="Calibri" w:hAnsi="Arial" w:cs="Arial"/>
          <w:sz w:val="22"/>
          <w:szCs w:val="22"/>
        </w:rPr>
        <w:t xml:space="preserve">you should follow normal </w:t>
      </w:r>
      <w:r>
        <w:rPr>
          <w:rFonts w:ascii="Arial" w:eastAsia="Calibri" w:hAnsi="Arial" w:cs="Arial"/>
          <w:sz w:val="22"/>
          <w:szCs w:val="22"/>
        </w:rPr>
        <w:t>United States Government Accountability Office</w:t>
      </w:r>
      <w:r w:rsidRPr="00C05B27">
        <w:rPr>
          <w:rFonts w:ascii="Arial" w:eastAsia="Calibri" w:hAnsi="Arial" w:cs="Arial"/>
          <w:sz w:val="22"/>
          <w:szCs w:val="22"/>
        </w:rPr>
        <w:t xml:space="preserve"> guidance as it relates to external peer review extensions. Per </w:t>
      </w:r>
      <w:r>
        <w:rPr>
          <w:rFonts w:ascii="Arial" w:eastAsia="Calibri" w:hAnsi="Arial" w:cs="Arial"/>
          <w:sz w:val="22"/>
          <w:szCs w:val="22"/>
        </w:rPr>
        <w:t>the 2018 Yellow Book</w:t>
      </w:r>
      <w:r w:rsidRPr="00C05B27">
        <w:rPr>
          <w:rFonts w:ascii="Arial" w:eastAsia="Calibri" w:hAnsi="Arial" w:cs="Arial"/>
          <w:sz w:val="22"/>
          <w:szCs w:val="22"/>
        </w:rPr>
        <w:t>, “In cases of unusual difficulty or hardship, extensions of the deadlines for submitting peer review reports exceeding 3 months beyond the due date may be granted by the entity that administers the peer review program with the concurrence of GAO”</w:t>
      </w:r>
      <w:r>
        <w:rPr>
          <w:rFonts w:ascii="Arial" w:eastAsia="Calibri" w:hAnsi="Arial" w:cs="Arial"/>
          <w:sz w:val="22"/>
          <w:szCs w:val="22"/>
        </w:rPr>
        <w:t xml:space="preserve"> (</w:t>
      </w:r>
      <w:r w:rsidRPr="00106E3B">
        <w:rPr>
          <w:rFonts w:ascii="Arial" w:hAnsi="Arial" w:cs="Arial"/>
          <w:sz w:val="22"/>
          <w:szCs w:val="22"/>
        </w:rPr>
        <w:t xml:space="preserve">GAS paragraph </w:t>
      </w:r>
      <w:r>
        <w:rPr>
          <w:rFonts w:ascii="Arial" w:hAnsi="Arial" w:cs="Arial"/>
          <w:sz w:val="22"/>
          <w:szCs w:val="22"/>
        </w:rPr>
        <w:t>5.64</w:t>
      </w:r>
      <w:r w:rsidRPr="00106E3B">
        <w:rPr>
          <w:rFonts w:ascii="Arial" w:hAnsi="Arial" w:cs="Arial"/>
          <w:sz w:val="22"/>
          <w:szCs w:val="22"/>
        </w:rPr>
        <w:t>).</w:t>
      </w:r>
    </w:p>
    <w:p w14:paraId="5A2FE63D" w14:textId="5B83CA86" w:rsidR="0064331D" w:rsidRPr="00C05B27" w:rsidRDefault="0064331D" w:rsidP="00A376F5">
      <w:pPr>
        <w:spacing w:after="120"/>
        <w:ind w:left="43"/>
        <w:rPr>
          <w:rFonts w:eastAsia="Calibri"/>
          <w:szCs w:val="22"/>
        </w:rPr>
      </w:pPr>
      <w:r w:rsidRPr="00C05B27">
        <w:rPr>
          <w:rFonts w:eastAsia="Calibri"/>
          <w:szCs w:val="22"/>
        </w:rPr>
        <w:t xml:space="preserve">If your firm performs </w:t>
      </w:r>
      <w:r>
        <w:rPr>
          <w:rFonts w:eastAsia="Calibri"/>
          <w:szCs w:val="22"/>
        </w:rPr>
        <w:t>Yellow Book</w:t>
      </w:r>
      <w:r w:rsidRPr="00C05B27">
        <w:rPr>
          <w:rFonts w:eastAsia="Calibri"/>
          <w:szCs w:val="22"/>
        </w:rPr>
        <w:t xml:space="preserve"> engagements, please don’t forget to take these requirements into account when requesting an extension!</w:t>
      </w:r>
    </w:p>
    <w:p w14:paraId="7C418C81" w14:textId="6A44896C" w:rsidR="0064331D" w:rsidRDefault="0064331D" w:rsidP="00A376F5">
      <w:pPr>
        <w:spacing w:after="120"/>
        <w:ind w:left="43" w:hanging="14"/>
        <w:rPr>
          <w:noProof/>
        </w:rPr>
      </w:pPr>
      <w:r w:rsidRPr="00C05B27">
        <w:rPr>
          <w:rFonts w:eastAsia="Calibri"/>
          <w:szCs w:val="22"/>
        </w:rPr>
        <w:t>For technical assistance regarding the Yellow Book, refer to</w:t>
      </w:r>
      <w:r w:rsidRPr="00E518AF">
        <w:rPr>
          <w:rFonts w:eastAsia="Calibri"/>
          <w:szCs w:val="22"/>
        </w:rPr>
        <w:t xml:space="preserve"> </w:t>
      </w:r>
      <w:hyperlink r:id="rId37" w:history="1">
        <w:r w:rsidRPr="00E518AF">
          <w:rPr>
            <w:rStyle w:val="Hyperlink"/>
            <w:rFonts w:eastAsia="Calibri"/>
            <w:szCs w:val="22"/>
          </w:rPr>
          <w:t>yellowbook@gao.gov</w:t>
        </w:r>
      </w:hyperlink>
      <w:r w:rsidRPr="00E518AF">
        <w:rPr>
          <w:rFonts w:eastAsia="Calibri"/>
          <w:szCs w:val="22"/>
        </w:rPr>
        <w:t xml:space="preserve"> or 202.512.9535</w:t>
      </w:r>
      <w:r w:rsidRPr="00C05B27">
        <w:rPr>
          <w:rFonts w:eastAsia="Calibri"/>
          <w:szCs w:val="22"/>
        </w:rPr>
        <w:t>.</w:t>
      </w:r>
      <w:r w:rsidR="0059632C" w:rsidRPr="0059632C">
        <w:rPr>
          <w:noProof/>
        </w:rPr>
        <w:t xml:space="preserve"> </w:t>
      </w:r>
    </w:p>
    <w:p w14:paraId="3ABE2A62" w14:textId="771D94A7" w:rsidR="00C32FED" w:rsidRPr="00C32FED" w:rsidRDefault="00C32FED" w:rsidP="00167A9F">
      <w:pPr>
        <w:spacing w:after="0"/>
        <w:ind w:left="0" w:firstLine="0"/>
        <w:rPr>
          <w:b/>
          <w:bCs/>
          <w:color w:val="72246C"/>
          <w:sz w:val="28"/>
          <w:szCs w:val="28"/>
        </w:rPr>
      </w:pPr>
      <w:r w:rsidRPr="00C32FED">
        <w:rPr>
          <w:b/>
          <w:bCs/>
          <w:color w:val="72246C"/>
          <w:sz w:val="28"/>
          <w:szCs w:val="28"/>
        </w:rPr>
        <w:lastRenderedPageBreak/>
        <w:t xml:space="preserve">Resources from the AICPA’s Enhancing Audit Quality (EAQ) </w:t>
      </w:r>
      <w:proofErr w:type="gramStart"/>
      <w:r w:rsidRPr="00C32FED">
        <w:rPr>
          <w:b/>
          <w:bCs/>
          <w:color w:val="72246C"/>
          <w:sz w:val="28"/>
          <w:szCs w:val="28"/>
        </w:rPr>
        <w:t>initiative</w:t>
      </w:r>
      <w:proofErr w:type="gramEnd"/>
    </w:p>
    <w:p w14:paraId="6141C833" w14:textId="065C99CA" w:rsidR="00C32FED" w:rsidRPr="00C32FED" w:rsidRDefault="00C32FED" w:rsidP="00C71858">
      <w:pPr>
        <w:spacing w:after="0" w:line="240" w:lineRule="auto"/>
        <w:ind w:left="57" w:hanging="14"/>
        <w:rPr>
          <w:color w:val="72246C"/>
          <w:sz w:val="28"/>
          <w:szCs w:val="28"/>
        </w:rPr>
      </w:pPr>
      <w:r w:rsidRPr="00C32FED">
        <w:rPr>
          <w:color w:val="72246C"/>
          <w:sz w:val="28"/>
          <w:szCs w:val="28"/>
        </w:rPr>
        <w:t>Quality Management</w:t>
      </w:r>
    </w:p>
    <w:p w14:paraId="33AA3DD2" w14:textId="7262CF37" w:rsidR="00C32FED" w:rsidRPr="00C32FED" w:rsidRDefault="00C32FED" w:rsidP="009E7DA2">
      <w:pPr>
        <w:spacing w:after="240"/>
        <w:ind w:left="57" w:hanging="14"/>
        <w:rPr>
          <w:szCs w:val="22"/>
        </w:rPr>
      </w:pPr>
      <w:r w:rsidRPr="00C32FED">
        <w:rPr>
          <w:szCs w:val="22"/>
        </w:rPr>
        <w:t>The effective date of the new quality management standards continues to quickly approach. Recall</w:t>
      </w:r>
      <w:r w:rsidR="008D1F8C">
        <w:rPr>
          <w:szCs w:val="22"/>
        </w:rPr>
        <w:t xml:space="preserve"> </w:t>
      </w:r>
      <w:r w:rsidRPr="00C32FED">
        <w:rPr>
          <w:szCs w:val="22"/>
        </w:rPr>
        <w:t>that a firm's system of quality management must be operational by December 15, 2025; therefore, firms will need to have identified and understood their firm’s individual risks and have implemented the appropriate risk responses. Additionally, SQMS No. 1 requires firm leadership to evaluat</w:t>
      </w:r>
      <w:r w:rsidR="0032112B">
        <w:rPr>
          <w:noProof/>
          <w:szCs w:val="22"/>
        </w:rPr>
        <w:drawing>
          <wp:anchor distT="0" distB="0" distL="114300" distR="114300" simplePos="0" relativeHeight="251672576" behindDoc="1" locked="0" layoutInCell="1" allowOverlap="1" wp14:anchorId="40DBFDCB" wp14:editId="2C379242">
            <wp:simplePos x="0" y="0"/>
            <wp:positionH relativeFrom="column">
              <wp:posOffset>33655</wp:posOffset>
            </wp:positionH>
            <wp:positionV relativeFrom="paragraph">
              <wp:posOffset>643255</wp:posOffset>
            </wp:positionV>
            <wp:extent cx="2475230" cy="2536190"/>
            <wp:effectExtent l="0" t="0" r="1270" b="0"/>
            <wp:wrapTight wrapText="bothSides">
              <wp:wrapPolygon edited="0">
                <wp:start x="0" y="0"/>
                <wp:lineTo x="0" y="21416"/>
                <wp:lineTo x="21445" y="21416"/>
                <wp:lineTo x="21445" y="0"/>
                <wp:lineTo x="0" y="0"/>
              </wp:wrapPolygon>
            </wp:wrapTight>
            <wp:docPr id="1289287994" name="Picture 6" descr="A diagram of a company's quality initiati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87994" name="Picture 6" descr="A diagram of a company's quality initiativ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5230" cy="2536190"/>
                    </a:xfrm>
                    <a:prstGeom prst="rect">
                      <a:avLst/>
                    </a:prstGeom>
                    <a:noFill/>
                  </pic:spPr>
                </pic:pic>
              </a:graphicData>
            </a:graphic>
            <wp14:sizeRelH relativeFrom="page">
              <wp14:pctWidth>0</wp14:pctWidth>
            </wp14:sizeRelH>
            <wp14:sizeRelV relativeFrom="page">
              <wp14:pctHeight>0</wp14:pctHeight>
            </wp14:sizeRelV>
          </wp:anchor>
        </w:drawing>
      </w:r>
      <w:r w:rsidRPr="00C32FED">
        <w:rPr>
          <w:szCs w:val="22"/>
        </w:rPr>
        <w:t>e whether the firm is meeting its quality objectives, with the first evaluation due by December 15, 2026.</w:t>
      </w:r>
    </w:p>
    <w:p w14:paraId="25126D58" w14:textId="77777777" w:rsidR="00C32FED" w:rsidRPr="00C32FED" w:rsidRDefault="00C32FED" w:rsidP="009E7DA2">
      <w:pPr>
        <w:spacing w:after="240"/>
        <w:ind w:left="57" w:hanging="14"/>
        <w:rPr>
          <w:szCs w:val="22"/>
        </w:rPr>
      </w:pPr>
      <w:r w:rsidRPr="00C32FED">
        <w:rPr>
          <w:szCs w:val="22"/>
        </w:rPr>
        <w:t>Be sure to take advantage of the AICPA resources on implementing the Statements on Quality Management Standards, including:</w:t>
      </w:r>
    </w:p>
    <w:p w14:paraId="3DA2C264" w14:textId="77777777" w:rsidR="00F031E6" w:rsidRPr="00F031E6" w:rsidRDefault="00F031E6" w:rsidP="009E7DA2">
      <w:pPr>
        <w:numPr>
          <w:ilvl w:val="0"/>
          <w:numId w:val="21"/>
        </w:numPr>
        <w:spacing w:after="240"/>
        <w:rPr>
          <w:szCs w:val="22"/>
        </w:rPr>
      </w:pPr>
      <w:r w:rsidRPr="00F031E6">
        <w:rPr>
          <w:szCs w:val="22"/>
        </w:rPr>
        <w:t xml:space="preserve">A free AICPA interactive practice aid, </w:t>
      </w:r>
      <w:hyperlink r:id="rId39" w:history="1">
        <w:r w:rsidRPr="00F031E6">
          <w:rPr>
            <w:rStyle w:val="Hyperlink"/>
            <w:szCs w:val="22"/>
          </w:rPr>
          <w:t>Establishing and Maintaining a System of Quality Management for a CPA Firm’s Accounting and Auditing Practice</w:t>
        </w:r>
      </w:hyperlink>
      <w:r w:rsidRPr="00F031E6">
        <w:rPr>
          <w:szCs w:val="22"/>
        </w:rPr>
        <w:t xml:space="preserve"> available for both sole practitioner firms or small- to medium-sized firms. A free companion risk-and-response library tool is also available.</w:t>
      </w:r>
    </w:p>
    <w:p w14:paraId="28083B90" w14:textId="77777777" w:rsidR="00F031E6" w:rsidRPr="00F031E6" w:rsidRDefault="00F031E6" w:rsidP="009E7DA2">
      <w:pPr>
        <w:numPr>
          <w:ilvl w:val="0"/>
          <w:numId w:val="21"/>
        </w:numPr>
        <w:spacing w:after="240"/>
        <w:rPr>
          <w:szCs w:val="22"/>
        </w:rPr>
      </w:pPr>
      <w:r w:rsidRPr="00F031E6">
        <w:rPr>
          <w:szCs w:val="22"/>
        </w:rPr>
        <w:t>A free AICPA checklist, “</w:t>
      </w:r>
      <w:hyperlink r:id="rId40" w:history="1">
        <w:r w:rsidRPr="00F031E6">
          <w:rPr>
            <w:rStyle w:val="Hyperlink"/>
            <w:szCs w:val="22"/>
          </w:rPr>
          <w:t>Ready for the new quality management standards?</w:t>
        </w:r>
      </w:hyperlink>
      <w:r w:rsidRPr="00F031E6">
        <w:rPr>
          <w:szCs w:val="22"/>
        </w:rPr>
        <w:t>” to help identify key steps and helpful resources to implementing the quality management standards by their effective date.</w:t>
      </w:r>
    </w:p>
    <w:p w14:paraId="5EE1D6DB" w14:textId="5EE53B43" w:rsidR="00F031E6" w:rsidRPr="00F031E6" w:rsidRDefault="00F031E6" w:rsidP="009E7DA2">
      <w:pPr>
        <w:numPr>
          <w:ilvl w:val="0"/>
          <w:numId w:val="21"/>
        </w:numPr>
        <w:spacing w:after="240"/>
        <w:rPr>
          <w:szCs w:val="22"/>
        </w:rPr>
      </w:pPr>
      <w:r w:rsidRPr="00F031E6">
        <w:rPr>
          <w:szCs w:val="22"/>
        </w:rPr>
        <w:t>A free AICPA comparison of changes, “</w:t>
      </w:r>
      <w:hyperlink r:id="rId41" w:history="1">
        <w:r w:rsidRPr="00F031E6">
          <w:rPr>
            <w:rStyle w:val="Hyperlink"/>
            <w:szCs w:val="22"/>
          </w:rPr>
          <w:t>Quality Management Standards: What’s Changing and What You Should Be Doing Now</w:t>
        </w:r>
      </w:hyperlink>
      <w:r w:rsidRPr="00F031E6">
        <w:rPr>
          <w:szCs w:val="22"/>
        </w:rPr>
        <w:t>” to bridge the Quality Control and the Quality Management standards</w:t>
      </w:r>
      <w:r w:rsidR="008D1F8C">
        <w:rPr>
          <w:szCs w:val="22"/>
        </w:rPr>
        <w:t>.</w:t>
      </w:r>
    </w:p>
    <w:p w14:paraId="18FC7DB5" w14:textId="1D92281A" w:rsidR="00F031E6" w:rsidRPr="00F031E6" w:rsidRDefault="00F031E6" w:rsidP="009E7DA2">
      <w:pPr>
        <w:numPr>
          <w:ilvl w:val="0"/>
          <w:numId w:val="21"/>
        </w:numPr>
        <w:spacing w:after="240"/>
        <w:rPr>
          <w:szCs w:val="22"/>
        </w:rPr>
      </w:pPr>
      <w:r w:rsidRPr="00F031E6">
        <w:rPr>
          <w:szCs w:val="22"/>
        </w:rPr>
        <w:t xml:space="preserve">A free AICPA </w:t>
      </w:r>
      <w:hyperlink r:id="rId42" w:history="1">
        <w:r w:rsidRPr="00F031E6">
          <w:rPr>
            <w:rStyle w:val="Hyperlink"/>
            <w:szCs w:val="22"/>
          </w:rPr>
          <w:t>executive summary</w:t>
        </w:r>
      </w:hyperlink>
      <w:r w:rsidRPr="00F031E6">
        <w:rPr>
          <w:szCs w:val="22"/>
        </w:rPr>
        <w:t xml:space="preserve"> of SQMS Nos. 1 – 2 and SAS No. 146</w:t>
      </w:r>
      <w:r w:rsidR="008D1F8C">
        <w:rPr>
          <w:szCs w:val="22"/>
        </w:rPr>
        <w:t>.</w:t>
      </w:r>
    </w:p>
    <w:p w14:paraId="09E3551F" w14:textId="369C05A6" w:rsidR="00F7100B" w:rsidRPr="00F031E6" w:rsidRDefault="00F031E6" w:rsidP="009E7DA2">
      <w:pPr>
        <w:spacing w:after="240"/>
        <w:ind w:left="57" w:hanging="14"/>
        <w:rPr>
          <w:szCs w:val="22"/>
        </w:rPr>
      </w:pPr>
      <w:r w:rsidRPr="00F031E6">
        <w:rPr>
          <w:szCs w:val="22"/>
        </w:rPr>
        <w:t xml:space="preserve">Further, the </w:t>
      </w:r>
      <w:hyperlink r:id="rId43" w:history="1">
        <w:r w:rsidRPr="00F031E6">
          <w:rPr>
            <w:rStyle w:val="Hyperlink"/>
            <w:i/>
            <w:iCs/>
            <w:szCs w:val="22"/>
          </w:rPr>
          <w:t>Journal of Accountancy</w:t>
        </w:r>
      </w:hyperlink>
      <w:r w:rsidRPr="00F031E6">
        <w:rPr>
          <w:i/>
          <w:iCs/>
          <w:szCs w:val="22"/>
        </w:rPr>
        <w:t xml:space="preserve"> </w:t>
      </w:r>
      <w:r w:rsidRPr="00F031E6">
        <w:rPr>
          <w:szCs w:val="22"/>
        </w:rPr>
        <w:t>has a series of articles covering various aspects for consideration when implementing your quality management system.</w:t>
      </w:r>
    </w:p>
    <w:p w14:paraId="2A4DE18B" w14:textId="7FFBE68E" w:rsidR="00F031E6" w:rsidRPr="00F031E6" w:rsidRDefault="00F031E6" w:rsidP="00F7100B">
      <w:pPr>
        <w:spacing w:after="0" w:line="240" w:lineRule="auto"/>
        <w:ind w:left="57" w:hanging="14"/>
        <w:rPr>
          <w:color w:val="72246C"/>
          <w:sz w:val="28"/>
          <w:szCs w:val="28"/>
        </w:rPr>
      </w:pPr>
      <w:r w:rsidRPr="00F031E6">
        <w:rPr>
          <w:color w:val="72246C"/>
          <w:sz w:val="28"/>
          <w:szCs w:val="28"/>
        </w:rPr>
        <w:t>A&amp;A Focus Broadcast Series Continues</w:t>
      </w:r>
    </w:p>
    <w:p w14:paraId="08D261F9" w14:textId="01CFD9D5" w:rsidR="00F031E6" w:rsidRPr="00F031E6" w:rsidRDefault="00F031E6" w:rsidP="0048107C">
      <w:pPr>
        <w:spacing w:after="120"/>
        <w:ind w:left="57" w:hanging="14"/>
        <w:rPr>
          <w:szCs w:val="22"/>
        </w:rPr>
      </w:pPr>
      <w:r w:rsidRPr="00F031E6">
        <w:rPr>
          <w:szCs w:val="22"/>
        </w:rPr>
        <w:t xml:space="preserve">Our monthly </w:t>
      </w:r>
      <w:r w:rsidR="008D1F8C">
        <w:rPr>
          <w:szCs w:val="22"/>
        </w:rPr>
        <w:t>one</w:t>
      </w:r>
      <w:r w:rsidRPr="00F031E6">
        <w:rPr>
          <w:szCs w:val="22"/>
        </w:rPr>
        <w:t xml:space="preserve"> CPE hour A&amp;A Focus broadcasts are going strong. These events are free for AICPA members.</w:t>
      </w:r>
    </w:p>
    <w:p w14:paraId="0A054415" w14:textId="49A9A135" w:rsidR="00F031E6" w:rsidRPr="00F031E6" w:rsidRDefault="00F031E6" w:rsidP="00F7100B">
      <w:pPr>
        <w:spacing w:after="120"/>
        <w:ind w:left="57" w:hanging="14"/>
        <w:rPr>
          <w:szCs w:val="22"/>
        </w:rPr>
      </w:pPr>
      <w:r w:rsidRPr="00F031E6">
        <w:rPr>
          <w:szCs w:val="22"/>
        </w:rPr>
        <w:t>Each month</w:t>
      </w:r>
      <w:r w:rsidR="0085219F">
        <w:rPr>
          <w:szCs w:val="22"/>
        </w:rPr>
        <w:t>,</w:t>
      </w:r>
      <w:r w:rsidRPr="00F031E6">
        <w:rPr>
          <w:szCs w:val="22"/>
        </w:rPr>
        <w:t xml:space="preserve"> we highlight news and topics critical to accounting, </w:t>
      </w:r>
      <w:proofErr w:type="gramStart"/>
      <w:r w:rsidRPr="00F031E6">
        <w:rPr>
          <w:szCs w:val="22"/>
        </w:rPr>
        <w:t>auditing</w:t>
      </w:r>
      <w:proofErr w:type="gramEnd"/>
      <w:r w:rsidRPr="00F031E6">
        <w:rPr>
          <w:szCs w:val="22"/>
        </w:rPr>
        <w:t xml:space="preserve"> and assurance practitioners, provide member-only resources</w:t>
      </w:r>
      <w:r w:rsidR="0085219F">
        <w:rPr>
          <w:szCs w:val="22"/>
        </w:rPr>
        <w:t>,</w:t>
      </w:r>
      <w:r w:rsidRPr="00F031E6">
        <w:rPr>
          <w:szCs w:val="22"/>
        </w:rPr>
        <w:t xml:space="preserve"> and curate additional information. </w:t>
      </w:r>
    </w:p>
    <w:p w14:paraId="07119D11" w14:textId="59D84411" w:rsidR="00F031E6" w:rsidRPr="00F031E6" w:rsidRDefault="00F031E6" w:rsidP="0048107C">
      <w:pPr>
        <w:spacing w:after="120"/>
        <w:ind w:left="57" w:hanging="14"/>
        <w:rPr>
          <w:szCs w:val="22"/>
        </w:rPr>
      </w:pPr>
      <w:r w:rsidRPr="00F031E6">
        <w:rPr>
          <w:szCs w:val="22"/>
        </w:rPr>
        <w:t>With your registration</w:t>
      </w:r>
      <w:r w:rsidR="008D1F8C">
        <w:rPr>
          <w:szCs w:val="22"/>
        </w:rPr>
        <w:t>,</w:t>
      </w:r>
      <w:r w:rsidRPr="00F031E6">
        <w:rPr>
          <w:szCs w:val="22"/>
        </w:rPr>
        <w:t xml:space="preserve"> you will also receive our monthly recap via email. Our newsletter provides you with more information on the topics discussed, related resources and a look ahead to the next event.</w:t>
      </w:r>
    </w:p>
    <w:p w14:paraId="668460C8" w14:textId="126DB624" w:rsidR="00F031E6" w:rsidRPr="00F031E6" w:rsidRDefault="00C4363A" w:rsidP="00F7100B">
      <w:pPr>
        <w:spacing w:after="120"/>
        <w:ind w:left="57" w:hanging="14"/>
        <w:rPr>
          <w:szCs w:val="22"/>
        </w:rPr>
      </w:pPr>
      <w:r w:rsidRPr="00A5366F">
        <w:rPr>
          <w:noProof/>
          <w:szCs w:val="22"/>
        </w:rPr>
        <w:drawing>
          <wp:anchor distT="0" distB="0" distL="114300" distR="114300" simplePos="0" relativeHeight="251671552" behindDoc="1" locked="0" layoutInCell="1" allowOverlap="1" wp14:anchorId="4634B2DB" wp14:editId="75C4FED3">
            <wp:simplePos x="0" y="0"/>
            <wp:positionH relativeFrom="column">
              <wp:posOffset>3240358</wp:posOffset>
            </wp:positionH>
            <wp:positionV relativeFrom="paragraph">
              <wp:posOffset>300279</wp:posOffset>
            </wp:positionV>
            <wp:extent cx="3535680" cy="1774825"/>
            <wp:effectExtent l="0" t="0" r="7620" b="0"/>
            <wp:wrapTight wrapText="bothSides">
              <wp:wrapPolygon edited="0">
                <wp:start x="0" y="0"/>
                <wp:lineTo x="0" y="21330"/>
                <wp:lineTo x="21530" y="21330"/>
                <wp:lineTo x="21530" y="0"/>
                <wp:lineTo x="0" y="0"/>
              </wp:wrapPolygon>
            </wp:wrapTight>
            <wp:docPr id="8" name="Picture 7" descr="A close-up of a person using a computer&#10;&#10;Description automatically generated">
              <a:extLst xmlns:a="http://schemas.openxmlformats.org/drawingml/2006/main">
                <a:ext uri="{FF2B5EF4-FFF2-40B4-BE49-F238E27FC236}">
                  <a16:creationId xmlns:a16="http://schemas.microsoft.com/office/drawing/2014/main" id="{656A0890-9383-5CCE-A2EE-C0F028AD24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up of a person using a computer&#10;&#10;Description automatically generated">
                      <a:extLst>
                        <a:ext uri="{FF2B5EF4-FFF2-40B4-BE49-F238E27FC236}">
                          <a16:creationId xmlns:a16="http://schemas.microsoft.com/office/drawing/2014/main" id="{656A0890-9383-5CCE-A2EE-C0F028AD2416}"/>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535680" cy="1774825"/>
                    </a:xfrm>
                    <a:prstGeom prst="rect">
                      <a:avLst/>
                    </a:prstGeom>
                  </pic:spPr>
                </pic:pic>
              </a:graphicData>
            </a:graphic>
            <wp14:sizeRelH relativeFrom="page">
              <wp14:pctWidth>0</wp14:pctWidth>
            </wp14:sizeRelH>
            <wp14:sizeRelV relativeFrom="page">
              <wp14:pctHeight>0</wp14:pctHeight>
            </wp14:sizeRelV>
          </wp:anchor>
        </w:drawing>
      </w:r>
      <w:r w:rsidR="00F031E6" w:rsidRPr="00F031E6">
        <w:rPr>
          <w:szCs w:val="22"/>
        </w:rPr>
        <w:t xml:space="preserve">Visit </w:t>
      </w:r>
      <w:hyperlink r:id="rId45" w:history="1">
        <w:r w:rsidR="00F031E6" w:rsidRPr="00F031E6">
          <w:rPr>
            <w:rStyle w:val="Hyperlink"/>
            <w:szCs w:val="22"/>
          </w:rPr>
          <w:t>aicpa-cima.com/</w:t>
        </w:r>
        <w:proofErr w:type="spellStart"/>
        <w:r w:rsidR="00F031E6" w:rsidRPr="00F031E6">
          <w:rPr>
            <w:rStyle w:val="Hyperlink"/>
            <w:szCs w:val="22"/>
          </w:rPr>
          <w:t>AAFocus</w:t>
        </w:r>
        <w:proofErr w:type="spellEnd"/>
      </w:hyperlink>
      <w:r w:rsidR="00F031E6" w:rsidRPr="00F031E6">
        <w:rPr>
          <w:szCs w:val="22"/>
        </w:rPr>
        <w:t xml:space="preserve"> for more information and to register, as well </w:t>
      </w:r>
      <w:r w:rsidR="00E06E62">
        <w:rPr>
          <w:szCs w:val="22"/>
        </w:rPr>
        <w:t xml:space="preserve">as </w:t>
      </w:r>
      <w:r w:rsidR="00F031E6" w:rsidRPr="00F031E6">
        <w:rPr>
          <w:szCs w:val="22"/>
        </w:rPr>
        <w:t xml:space="preserve">gain access to non-CPE replays of past events and highlighted resources. Attendance is free for AICPA </w:t>
      </w:r>
      <w:r w:rsidR="00545167" w:rsidRPr="00F031E6">
        <w:rPr>
          <w:szCs w:val="22"/>
        </w:rPr>
        <w:t>members,</w:t>
      </w:r>
      <w:r w:rsidR="00F031E6" w:rsidRPr="00F031E6">
        <w:rPr>
          <w:szCs w:val="22"/>
        </w:rPr>
        <w:t xml:space="preserve"> and you only </w:t>
      </w:r>
      <w:proofErr w:type="gramStart"/>
      <w:r w:rsidR="00F031E6" w:rsidRPr="00F031E6">
        <w:rPr>
          <w:szCs w:val="22"/>
        </w:rPr>
        <w:t>have to</w:t>
      </w:r>
      <w:proofErr w:type="gramEnd"/>
      <w:r w:rsidR="00F031E6" w:rsidRPr="00F031E6">
        <w:rPr>
          <w:szCs w:val="22"/>
        </w:rPr>
        <w:t xml:space="preserve"> register for one event. Your single registration will grant you access to all remaining broadcasts.</w:t>
      </w:r>
      <w:r w:rsidR="00A5366F" w:rsidRPr="00A5366F">
        <w:rPr>
          <w:noProof/>
        </w:rPr>
        <w:t xml:space="preserve"> </w:t>
      </w:r>
    </w:p>
    <w:p w14:paraId="7F81D050" w14:textId="77777777" w:rsidR="00F031E6" w:rsidRPr="00F031E6" w:rsidRDefault="00F031E6" w:rsidP="00F031E6">
      <w:pPr>
        <w:numPr>
          <w:ilvl w:val="0"/>
          <w:numId w:val="20"/>
        </w:numPr>
        <w:spacing w:after="0"/>
        <w:rPr>
          <w:szCs w:val="22"/>
        </w:rPr>
      </w:pPr>
      <w:r w:rsidRPr="00F031E6">
        <w:rPr>
          <w:szCs w:val="22"/>
        </w:rPr>
        <w:t>June 12, 2024 – 1pm-2pm Eastern</w:t>
      </w:r>
    </w:p>
    <w:p w14:paraId="32219057" w14:textId="77777777" w:rsidR="00F031E6" w:rsidRPr="00F031E6" w:rsidRDefault="00F031E6" w:rsidP="00F031E6">
      <w:pPr>
        <w:numPr>
          <w:ilvl w:val="0"/>
          <w:numId w:val="20"/>
        </w:numPr>
        <w:spacing w:after="0"/>
        <w:rPr>
          <w:szCs w:val="22"/>
        </w:rPr>
      </w:pPr>
      <w:r w:rsidRPr="00F031E6">
        <w:rPr>
          <w:szCs w:val="22"/>
        </w:rPr>
        <w:t>July 10, 2024 – 1pm-2pm Eastern</w:t>
      </w:r>
    </w:p>
    <w:p w14:paraId="4CAB1612" w14:textId="77777777" w:rsidR="00F031E6" w:rsidRPr="00F031E6" w:rsidRDefault="00F031E6" w:rsidP="00F031E6">
      <w:pPr>
        <w:numPr>
          <w:ilvl w:val="0"/>
          <w:numId w:val="20"/>
        </w:numPr>
        <w:spacing w:after="0"/>
        <w:rPr>
          <w:szCs w:val="22"/>
        </w:rPr>
      </w:pPr>
      <w:r w:rsidRPr="00F031E6">
        <w:rPr>
          <w:szCs w:val="22"/>
        </w:rPr>
        <w:t>August 7, 2024 – 1pm-2pm Eastern</w:t>
      </w:r>
    </w:p>
    <w:p w14:paraId="5A7AA0C8" w14:textId="77777777" w:rsidR="00F031E6" w:rsidRPr="00F031E6" w:rsidRDefault="00F031E6" w:rsidP="00F031E6">
      <w:pPr>
        <w:numPr>
          <w:ilvl w:val="0"/>
          <w:numId w:val="20"/>
        </w:numPr>
        <w:spacing w:after="0"/>
        <w:rPr>
          <w:szCs w:val="22"/>
        </w:rPr>
      </w:pPr>
      <w:r w:rsidRPr="00F031E6">
        <w:rPr>
          <w:szCs w:val="22"/>
        </w:rPr>
        <w:t>September 4, 2024 – 1pm-2pm Eastern</w:t>
      </w:r>
    </w:p>
    <w:p w14:paraId="2D76F63E" w14:textId="77777777" w:rsidR="00F031E6" w:rsidRPr="00F031E6" w:rsidRDefault="00F031E6" w:rsidP="00F031E6">
      <w:pPr>
        <w:numPr>
          <w:ilvl w:val="0"/>
          <w:numId w:val="20"/>
        </w:numPr>
        <w:spacing w:after="0"/>
        <w:rPr>
          <w:szCs w:val="22"/>
        </w:rPr>
      </w:pPr>
      <w:r w:rsidRPr="00F031E6">
        <w:rPr>
          <w:szCs w:val="22"/>
        </w:rPr>
        <w:t>October 2, 2024 – 1pm-2pm Eastern</w:t>
      </w:r>
    </w:p>
    <w:p w14:paraId="47D17D58" w14:textId="77777777" w:rsidR="00F031E6" w:rsidRDefault="00F031E6" w:rsidP="00F031E6">
      <w:pPr>
        <w:numPr>
          <w:ilvl w:val="0"/>
          <w:numId w:val="20"/>
        </w:numPr>
        <w:spacing w:after="0"/>
        <w:rPr>
          <w:szCs w:val="22"/>
        </w:rPr>
      </w:pPr>
      <w:r w:rsidRPr="00F031E6">
        <w:rPr>
          <w:szCs w:val="22"/>
        </w:rPr>
        <w:t>November 13, 2024 – 1pm-2pm Eastern</w:t>
      </w:r>
    </w:p>
    <w:p w14:paraId="2EE39A67" w14:textId="56730FF3" w:rsidR="00F04367" w:rsidRPr="00725099" w:rsidRDefault="00F04367" w:rsidP="003E7CA4">
      <w:pPr>
        <w:spacing w:after="0"/>
        <w:rPr>
          <w:szCs w:val="22"/>
        </w:rPr>
      </w:pPr>
      <w:r w:rsidRPr="00FB70B3">
        <w:rPr>
          <w:b/>
          <w:bCs/>
          <w:color w:val="72246C"/>
          <w:sz w:val="28"/>
          <w:szCs w:val="28"/>
        </w:rPr>
        <w:lastRenderedPageBreak/>
        <w:t>Ethics</w:t>
      </w:r>
    </w:p>
    <w:p w14:paraId="590883BF" w14:textId="369065CA" w:rsidR="00F04367" w:rsidRPr="00F04367" w:rsidRDefault="00F04367" w:rsidP="00F04367">
      <w:pPr>
        <w:spacing w:after="0"/>
        <w:ind w:left="57" w:hanging="14"/>
        <w:rPr>
          <w:color w:val="72246C"/>
          <w:sz w:val="28"/>
          <w:szCs w:val="28"/>
        </w:rPr>
      </w:pPr>
      <w:r w:rsidRPr="00F04367">
        <w:rPr>
          <w:color w:val="72246C"/>
          <w:sz w:val="28"/>
          <w:szCs w:val="28"/>
        </w:rPr>
        <w:t>Wondering what’s going on in ethics standard setting?</w:t>
      </w:r>
    </w:p>
    <w:p w14:paraId="0EAD70CE" w14:textId="0C25179A" w:rsidR="00F04367" w:rsidRPr="00F04367" w:rsidRDefault="00F04367" w:rsidP="009E7DA2">
      <w:pPr>
        <w:spacing w:after="240"/>
        <w:ind w:left="57" w:hanging="14"/>
        <w:rPr>
          <w:szCs w:val="22"/>
        </w:rPr>
      </w:pPr>
      <w:r w:rsidRPr="00F04367">
        <w:rPr>
          <w:szCs w:val="22"/>
        </w:rPr>
        <w:t xml:space="preserve">Starting with the May meeting of the Professional Ethics Executive Committee, </w:t>
      </w:r>
      <w:r w:rsidR="002072F4">
        <w:rPr>
          <w:szCs w:val="22"/>
        </w:rPr>
        <w:t>the AICPA will</w:t>
      </w:r>
      <w:r w:rsidRPr="00F04367">
        <w:rPr>
          <w:szCs w:val="22"/>
        </w:rPr>
        <w:t xml:space="preserve"> publish a webcast of the full meeting a day or two after each quarterly meeting in case you can’t attend in real time. </w:t>
      </w:r>
      <w:r w:rsidR="002072F4">
        <w:rPr>
          <w:szCs w:val="22"/>
        </w:rPr>
        <w:t>Time</w:t>
      </w:r>
      <w:r w:rsidRPr="00F04367">
        <w:rPr>
          <w:szCs w:val="22"/>
        </w:rPr>
        <w:t xml:space="preserve"> stamps </w:t>
      </w:r>
      <w:r w:rsidR="002072F4">
        <w:rPr>
          <w:szCs w:val="22"/>
        </w:rPr>
        <w:t xml:space="preserve">will be included </w:t>
      </w:r>
      <w:r w:rsidRPr="00F04367">
        <w:rPr>
          <w:szCs w:val="22"/>
        </w:rPr>
        <w:t xml:space="preserve">so it will be easy for you to find </w:t>
      </w:r>
      <w:proofErr w:type="gramStart"/>
      <w:r w:rsidRPr="00F04367">
        <w:rPr>
          <w:szCs w:val="22"/>
        </w:rPr>
        <w:t>discussion</w:t>
      </w:r>
      <w:proofErr w:type="gramEnd"/>
      <w:r w:rsidRPr="00F04367">
        <w:rPr>
          <w:szCs w:val="22"/>
        </w:rPr>
        <w:t xml:space="preserve"> about the projects you’re interested in. </w:t>
      </w:r>
    </w:p>
    <w:p w14:paraId="15A08FC7" w14:textId="0530A3A1" w:rsidR="00F04367" w:rsidRPr="00F04367" w:rsidRDefault="002072F4" w:rsidP="00A740F4">
      <w:pPr>
        <w:spacing w:after="240"/>
        <w:ind w:left="57" w:hanging="14"/>
        <w:rPr>
          <w:szCs w:val="22"/>
        </w:rPr>
      </w:pPr>
      <w:r w:rsidRPr="002072F4">
        <w:rPr>
          <w:noProof/>
          <w:szCs w:val="22"/>
        </w:rPr>
        <w:drawing>
          <wp:anchor distT="0" distB="0" distL="114300" distR="114300" simplePos="0" relativeHeight="251678720" behindDoc="1" locked="0" layoutInCell="1" allowOverlap="1" wp14:anchorId="00501281" wp14:editId="3F973ADD">
            <wp:simplePos x="0" y="0"/>
            <wp:positionH relativeFrom="column">
              <wp:posOffset>4457700</wp:posOffset>
            </wp:positionH>
            <wp:positionV relativeFrom="paragraph">
              <wp:posOffset>318135</wp:posOffset>
            </wp:positionV>
            <wp:extent cx="2790825" cy="1752600"/>
            <wp:effectExtent l="0" t="0" r="9525" b="0"/>
            <wp:wrapTight wrapText="bothSides">
              <wp:wrapPolygon edited="0">
                <wp:start x="0" y="0"/>
                <wp:lineTo x="0" y="21365"/>
                <wp:lineTo x="21526" y="21365"/>
                <wp:lineTo x="21526" y="0"/>
                <wp:lineTo x="0" y="0"/>
              </wp:wrapPolygon>
            </wp:wrapTight>
            <wp:docPr id="562308356" name="Picture 1" descr="A group of colorful he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08356" name="Picture 1" descr="A group of colorful heads&#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2790825" cy="1752600"/>
                    </a:xfrm>
                    <a:prstGeom prst="rect">
                      <a:avLst/>
                    </a:prstGeom>
                  </pic:spPr>
                </pic:pic>
              </a:graphicData>
            </a:graphic>
          </wp:anchor>
        </w:drawing>
      </w:r>
      <w:r w:rsidR="00F04367" w:rsidRPr="00F04367">
        <w:rPr>
          <w:szCs w:val="22"/>
        </w:rPr>
        <w:t xml:space="preserve">After May 13, you’ll be able to find the webcasts at </w:t>
      </w:r>
      <w:hyperlink r:id="rId47" w:history="1">
        <w:r w:rsidR="00F04367" w:rsidRPr="00F04367">
          <w:rPr>
            <w:rStyle w:val="Hyperlink"/>
            <w:szCs w:val="22"/>
          </w:rPr>
          <w:t>aicpa-cima.com/</w:t>
        </w:r>
        <w:proofErr w:type="spellStart"/>
        <w:r w:rsidR="00F04367" w:rsidRPr="00F04367">
          <w:rPr>
            <w:rStyle w:val="Hyperlink"/>
            <w:szCs w:val="22"/>
          </w:rPr>
          <w:t>peecmeetinginfo</w:t>
        </w:r>
        <w:proofErr w:type="spellEnd"/>
      </w:hyperlink>
      <w:r w:rsidR="00F04367" w:rsidRPr="00F04367">
        <w:rPr>
          <w:szCs w:val="22"/>
        </w:rPr>
        <w:t xml:space="preserve">. </w:t>
      </w:r>
    </w:p>
    <w:p w14:paraId="00767E4D" w14:textId="7C7BBD95" w:rsidR="00F04367" w:rsidRPr="00F04367" w:rsidRDefault="00F04367" w:rsidP="00A740F4">
      <w:pPr>
        <w:spacing w:after="240"/>
        <w:ind w:left="57" w:hanging="14"/>
        <w:rPr>
          <w:szCs w:val="22"/>
        </w:rPr>
      </w:pPr>
      <w:r w:rsidRPr="00F04367">
        <w:rPr>
          <w:b/>
          <w:bCs/>
          <w:szCs w:val="22"/>
        </w:rPr>
        <w:t xml:space="preserve">In case you missed it in the last </w:t>
      </w:r>
      <w:r w:rsidRPr="00F04367">
        <w:rPr>
          <w:b/>
          <w:bCs/>
          <w:i/>
          <w:iCs/>
          <w:szCs w:val="22"/>
        </w:rPr>
        <w:t>PR Prompts</w:t>
      </w:r>
      <w:r w:rsidRPr="00F04367">
        <w:rPr>
          <w:b/>
          <w:bCs/>
          <w:szCs w:val="22"/>
        </w:rPr>
        <w:t xml:space="preserve">, </w:t>
      </w:r>
      <w:r w:rsidR="002072F4">
        <w:rPr>
          <w:szCs w:val="22"/>
        </w:rPr>
        <w:t xml:space="preserve">the AICPA is </w:t>
      </w:r>
      <w:r w:rsidRPr="00F04367">
        <w:rPr>
          <w:szCs w:val="22"/>
        </w:rPr>
        <w:t xml:space="preserve">in the process of migrating ethics content from </w:t>
      </w:r>
      <w:hyperlink r:id="rId48" w:history="1">
        <w:r w:rsidR="00821A11" w:rsidRPr="00392B41">
          <w:rPr>
            <w:rStyle w:val="Hyperlink"/>
            <w:szCs w:val="22"/>
          </w:rPr>
          <w:t>aicpa.org</w:t>
        </w:r>
      </w:hyperlink>
      <w:r w:rsidRPr="00F04367">
        <w:rPr>
          <w:szCs w:val="22"/>
        </w:rPr>
        <w:t xml:space="preserve"> to </w:t>
      </w:r>
      <w:hyperlink r:id="rId49" w:history="1">
        <w:r w:rsidRPr="00F04367">
          <w:rPr>
            <w:rStyle w:val="Hyperlink"/>
            <w:szCs w:val="22"/>
          </w:rPr>
          <w:t>aicpa-cima.com</w:t>
        </w:r>
      </w:hyperlink>
      <w:r w:rsidRPr="00F04367">
        <w:rPr>
          <w:szCs w:val="22"/>
        </w:rPr>
        <w:t>. To ensure publications are easy to find,</w:t>
      </w:r>
      <w:r w:rsidR="002072F4">
        <w:rPr>
          <w:szCs w:val="22"/>
        </w:rPr>
        <w:t xml:space="preserve"> </w:t>
      </w:r>
      <w:r w:rsidRPr="00F04367">
        <w:rPr>
          <w:szCs w:val="22"/>
        </w:rPr>
        <w:t>“vanity” URLs</w:t>
      </w:r>
      <w:r w:rsidR="002072F4">
        <w:rPr>
          <w:szCs w:val="22"/>
        </w:rPr>
        <w:t xml:space="preserve"> have been created</w:t>
      </w:r>
      <w:r w:rsidRPr="00F04367">
        <w:rPr>
          <w:szCs w:val="22"/>
        </w:rPr>
        <w:t xml:space="preserve">. Make a note of these and you’ll be able to find </w:t>
      </w:r>
      <w:r w:rsidR="002072F4">
        <w:rPr>
          <w:szCs w:val="22"/>
        </w:rPr>
        <w:t>the</w:t>
      </w:r>
      <w:r w:rsidRPr="00F04367">
        <w:rPr>
          <w:szCs w:val="22"/>
        </w:rPr>
        <w:t xml:space="preserve"> content where it currently lives and later, the transition will be seamless for you:</w:t>
      </w:r>
    </w:p>
    <w:p w14:paraId="5CD8003A" w14:textId="23163C10" w:rsidR="00F04367" w:rsidRPr="009E7DA2" w:rsidRDefault="00A81D12" w:rsidP="009E7DA2">
      <w:pPr>
        <w:pStyle w:val="ListParagraph"/>
        <w:numPr>
          <w:ilvl w:val="0"/>
          <w:numId w:val="23"/>
        </w:numPr>
        <w:spacing w:after="120"/>
        <w:rPr>
          <w:rFonts w:ascii="Arial" w:hAnsi="Arial" w:cs="Arial"/>
          <w:sz w:val="22"/>
          <w:szCs w:val="22"/>
        </w:rPr>
      </w:pPr>
      <w:hyperlink r:id="rId50" w:history="1">
        <w:r w:rsidR="00F04367" w:rsidRPr="009E7DA2">
          <w:rPr>
            <w:rStyle w:val="Hyperlink"/>
            <w:rFonts w:ascii="Arial" w:hAnsi="Arial" w:cs="Arial"/>
            <w:sz w:val="22"/>
            <w:szCs w:val="22"/>
          </w:rPr>
          <w:t>aicpa.org/ethics</w:t>
        </w:r>
      </w:hyperlink>
      <w:r w:rsidR="00F04367" w:rsidRPr="009E7DA2">
        <w:rPr>
          <w:rFonts w:ascii="Arial" w:hAnsi="Arial" w:cs="Arial"/>
          <w:sz w:val="22"/>
          <w:szCs w:val="22"/>
        </w:rPr>
        <w:t xml:space="preserve"> This is </w:t>
      </w:r>
      <w:r w:rsidR="00E06E62" w:rsidRPr="009E7DA2">
        <w:rPr>
          <w:rFonts w:ascii="Arial" w:hAnsi="Arial" w:cs="Arial"/>
          <w:sz w:val="22"/>
          <w:szCs w:val="22"/>
        </w:rPr>
        <w:t>the</w:t>
      </w:r>
      <w:r w:rsidR="00F04367" w:rsidRPr="009E7DA2">
        <w:rPr>
          <w:rFonts w:ascii="Arial" w:hAnsi="Arial" w:cs="Arial"/>
          <w:sz w:val="22"/>
          <w:szCs w:val="22"/>
        </w:rPr>
        <w:t xml:space="preserve"> ethics landing page. </w:t>
      </w:r>
    </w:p>
    <w:p w14:paraId="658D8A02" w14:textId="3145B0A8" w:rsidR="00F04367" w:rsidRPr="00F04367" w:rsidRDefault="00A81D12" w:rsidP="003E7CA4">
      <w:pPr>
        <w:numPr>
          <w:ilvl w:val="0"/>
          <w:numId w:val="19"/>
        </w:numPr>
        <w:spacing w:after="120"/>
        <w:rPr>
          <w:szCs w:val="22"/>
        </w:rPr>
      </w:pPr>
      <w:hyperlink r:id="rId51" w:history="1">
        <w:r w:rsidR="00F04367" w:rsidRPr="00F04367">
          <w:rPr>
            <w:rStyle w:val="Hyperlink"/>
            <w:szCs w:val="22"/>
          </w:rPr>
          <w:t>aicpa.org/</w:t>
        </w:r>
        <w:proofErr w:type="spellStart"/>
        <w:r w:rsidR="00F04367" w:rsidRPr="00F04367">
          <w:rPr>
            <w:rStyle w:val="Hyperlink"/>
            <w:szCs w:val="22"/>
          </w:rPr>
          <w:t>ethicslibrary</w:t>
        </w:r>
        <w:proofErr w:type="spellEnd"/>
      </w:hyperlink>
      <w:r w:rsidR="00F04367" w:rsidRPr="00F04367">
        <w:rPr>
          <w:szCs w:val="22"/>
        </w:rPr>
        <w:t xml:space="preserve"> This is where you’ll find the Code of Professional Conduct and many tools and resources, such as the </w:t>
      </w:r>
      <w:r w:rsidR="00F04367" w:rsidRPr="00F04367">
        <w:rPr>
          <w:i/>
          <w:iCs/>
          <w:szCs w:val="22"/>
        </w:rPr>
        <w:t>Plain English guide to independence</w:t>
      </w:r>
      <w:r w:rsidR="00F04367" w:rsidRPr="00F04367">
        <w:rPr>
          <w:szCs w:val="22"/>
        </w:rPr>
        <w:t xml:space="preserve">, </w:t>
      </w:r>
      <w:r w:rsidR="00F04367" w:rsidRPr="00F04367">
        <w:rPr>
          <w:i/>
          <w:iCs/>
          <w:szCs w:val="22"/>
        </w:rPr>
        <w:t>Ethics Questions and Answers</w:t>
      </w:r>
      <w:r w:rsidR="00F04367" w:rsidRPr="00F04367">
        <w:rPr>
          <w:szCs w:val="22"/>
        </w:rPr>
        <w:t xml:space="preserve">, and more. </w:t>
      </w:r>
    </w:p>
    <w:p w14:paraId="01F46B56" w14:textId="5FEC2D96" w:rsidR="00F04367" w:rsidRPr="00F04367" w:rsidRDefault="00A81D12" w:rsidP="003E7CA4">
      <w:pPr>
        <w:numPr>
          <w:ilvl w:val="0"/>
          <w:numId w:val="19"/>
        </w:numPr>
        <w:spacing w:after="120"/>
        <w:rPr>
          <w:szCs w:val="22"/>
        </w:rPr>
      </w:pPr>
      <w:hyperlink r:id="rId52" w:history="1">
        <w:r w:rsidR="00F04367" w:rsidRPr="00F04367">
          <w:rPr>
            <w:rStyle w:val="Hyperlink"/>
            <w:szCs w:val="22"/>
          </w:rPr>
          <w:t>aicpa.org/</w:t>
        </w:r>
        <w:proofErr w:type="spellStart"/>
        <w:r w:rsidR="00F04367" w:rsidRPr="00F04367">
          <w:rPr>
            <w:rStyle w:val="Hyperlink"/>
            <w:szCs w:val="22"/>
          </w:rPr>
          <w:t>peecprojects</w:t>
        </w:r>
        <w:proofErr w:type="spellEnd"/>
      </w:hyperlink>
      <w:r w:rsidR="00F04367" w:rsidRPr="00F04367">
        <w:rPr>
          <w:szCs w:val="22"/>
        </w:rPr>
        <w:t xml:space="preserve"> Go here to find exposure drafts and comment letters, final releases of new authoritative guidance, and related content.</w:t>
      </w:r>
    </w:p>
    <w:p w14:paraId="18C67858" w14:textId="73942D7B" w:rsidR="00F04367" w:rsidRPr="00F04367" w:rsidRDefault="00A81D12" w:rsidP="003E7CA4">
      <w:pPr>
        <w:numPr>
          <w:ilvl w:val="0"/>
          <w:numId w:val="19"/>
        </w:numPr>
        <w:spacing w:after="120"/>
        <w:rPr>
          <w:szCs w:val="22"/>
        </w:rPr>
      </w:pPr>
      <w:hyperlink r:id="rId53" w:history="1">
        <w:r w:rsidR="00F04367" w:rsidRPr="00F04367">
          <w:rPr>
            <w:rStyle w:val="Hyperlink"/>
            <w:szCs w:val="22"/>
          </w:rPr>
          <w:t>aicpa.org/</w:t>
        </w:r>
        <w:proofErr w:type="spellStart"/>
        <w:r w:rsidR="00F04367" w:rsidRPr="00F04367">
          <w:rPr>
            <w:rStyle w:val="Hyperlink"/>
            <w:szCs w:val="22"/>
          </w:rPr>
          <w:t>peecmeeting</w:t>
        </w:r>
        <w:proofErr w:type="spellEnd"/>
      </w:hyperlink>
      <w:r w:rsidR="00F04367" w:rsidRPr="00F04367">
        <w:rPr>
          <w:szCs w:val="22"/>
        </w:rPr>
        <w:t xml:space="preserve"> Would you like to stay current with AICPA ethics activities and get CPE credits while you’re at it? This link lets you register to attend quarterly PEEC meetings</w:t>
      </w:r>
      <w:r w:rsidR="00E06E62">
        <w:rPr>
          <w:szCs w:val="22"/>
        </w:rPr>
        <w:t>!</w:t>
      </w:r>
    </w:p>
    <w:p w14:paraId="110380FF" w14:textId="4531C44A" w:rsidR="00F04367" w:rsidRPr="00F04367" w:rsidRDefault="00A81D12" w:rsidP="003E7CA4">
      <w:pPr>
        <w:numPr>
          <w:ilvl w:val="0"/>
          <w:numId w:val="19"/>
        </w:numPr>
        <w:spacing w:after="120"/>
        <w:rPr>
          <w:szCs w:val="22"/>
        </w:rPr>
      </w:pPr>
      <w:hyperlink r:id="rId54">
        <w:r w:rsidR="00F04367" w:rsidRPr="00F04367">
          <w:rPr>
            <w:rStyle w:val="Hyperlink"/>
            <w:szCs w:val="22"/>
          </w:rPr>
          <w:t>aicpa.org/</w:t>
        </w:r>
        <w:proofErr w:type="spellStart"/>
        <w:r w:rsidR="00F04367" w:rsidRPr="00F04367">
          <w:rPr>
            <w:rStyle w:val="Hyperlink"/>
            <w:szCs w:val="22"/>
          </w:rPr>
          <w:t>jeepmanual</w:t>
        </w:r>
        <w:proofErr w:type="spellEnd"/>
      </w:hyperlink>
      <w:r w:rsidR="00F04367" w:rsidRPr="00F04367">
        <w:rPr>
          <w:szCs w:val="22"/>
        </w:rPr>
        <w:t xml:space="preserve"> Have you ever wondered about the details of </w:t>
      </w:r>
      <w:r w:rsidR="00E06E62">
        <w:rPr>
          <w:szCs w:val="22"/>
        </w:rPr>
        <w:t>the</w:t>
      </w:r>
      <w:r w:rsidR="00F04367" w:rsidRPr="00F04367">
        <w:rPr>
          <w:szCs w:val="22"/>
        </w:rPr>
        <w:t xml:space="preserve"> investigative process and how </w:t>
      </w:r>
      <w:r w:rsidR="00E06E62">
        <w:rPr>
          <w:szCs w:val="22"/>
        </w:rPr>
        <w:t>the AICPA</w:t>
      </w:r>
      <w:r w:rsidR="00F04367" w:rsidRPr="00F04367">
        <w:rPr>
          <w:szCs w:val="22"/>
        </w:rPr>
        <w:t xml:space="preserve"> collaborate</w:t>
      </w:r>
      <w:r w:rsidR="00E06E62">
        <w:rPr>
          <w:szCs w:val="22"/>
        </w:rPr>
        <w:t>s</w:t>
      </w:r>
      <w:r w:rsidR="00F04367" w:rsidRPr="00F04367">
        <w:rPr>
          <w:szCs w:val="22"/>
        </w:rPr>
        <w:t xml:space="preserve"> with state societies to perform joint investigations? Use this link to find the answers to all your questions about </w:t>
      </w:r>
      <w:proofErr w:type="gramStart"/>
      <w:r w:rsidR="00F04367" w:rsidRPr="00F04367">
        <w:rPr>
          <w:szCs w:val="22"/>
        </w:rPr>
        <w:t>Joint</w:t>
      </w:r>
      <w:proofErr w:type="gramEnd"/>
      <w:r w:rsidR="00F04367" w:rsidRPr="00F04367">
        <w:rPr>
          <w:szCs w:val="22"/>
        </w:rPr>
        <w:t xml:space="preserve"> Ethics Enforcement Program. </w:t>
      </w:r>
    </w:p>
    <w:p w14:paraId="7B8EB796" w14:textId="2B6A1312" w:rsidR="00F04367" w:rsidRPr="00F04367" w:rsidRDefault="00A81D12" w:rsidP="00A740F4">
      <w:pPr>
        <w:numPr>
          <w:ilvl w:val="0"/>
          <w:numId w:val="19"/>
        </w:numPr>
        <w:spacing w:after="240"/>
        <w:rPr>
          <w:szCs w:val="22"/>
        </w:rPr>
      </w:pPr>
      <w:hyperlink r:id="rId55">
        <w:r w:rsidR="00F04367" w:rsidRPr="00F04367">
          <w:rPr>
            <w:rStyle w:val="Hyperlink"/>
            <w:szCs w:val="22"/>
          </w:rPr>
          <w:t>www.aicpa.org/fileacomplaint</w:t>
        </w:r>
      </w:hyperlink>
      <w:r w:rsidR="00F04367" w:rsidRPr="00F04367">
        <w:rPr>
          <w:szCs w:val="22"/>
        </w:rPr>
        <w:t xml:space="preserve"> As the URL suggests, this is where </w:t>
      </w:r>
      <w:r w:rsidR="00E06E62">
        <w:rPr>
          <w:szCs w:val="22"/>
        </w:rPr>
        <w:t>individuals may</w:t>
      </w:r>
      <w:r w:rsidR="00F04367" w:rsidRPr="00F04367">
        <w:rPr>
          <w:szCs w:val="22"/>
        </w:rPr>
        <w:t xml:space="preserve"> go to find out how to file a complaint against an AICPA member. </w:t>
      </w:r>
    </w:p>
    <w:p w14:paraId="10B10B1E" w14:textId="76558C4B" w:rsidR="00071EE5" w:rsidRDefault="00F04367" w:rsidP="00614597">
      <w:pPr>
        <w:spacing w:after="0" w:line="240" w:lineRule="auto"/>
        <w:ind w:left="57" w:hanging="14"/>
        <w:rPr>
          <w:szCs w:val="22"/>
        </w:rPr>
      </w:pPr>
      <w:r w:rsidRPr="00F04367">
        <w:rPr>
          <w:szCs w:val="22"/>
        </w:rPr>
        <w:t xml:space="preserve">If you have any issues or questions about </w:t>
      </w:r>
      <w:r w:rsidR="00E06E62">
        <w:rPr>
          <w:szCs w:val="22"/>
        </w:rPr>
        <w:t>ethics</w:t>
      </w:r>
      <w:r w:rsidRPr="00F04367">
        <w:rPr>
          <w:szCs w:val="22"/>
        </w:rPr>
        <w:t xml:space="preserve"> content, simply email </w:t>
      </w:r>
      <w:hyperlink r:id="rId56" w:history="1">
        <w:r w:rsidRPr="00F04367">
          <w:rPr>
            <w:rStyle w:val="Hyperlink"/>
            <w:szCs w:val="22"/>
          </w:rPr>
          <w:t>PEECCoordinator@aicpa.org</w:t>
        </w:r>
      </w:hyperlink>
      <w:r w:rsidRPr="00F04367">
        <w:rPr>
          <w:szCs w:val="22"/>
        </w:rPr>
        <w:t xml:space="preserve">. </w:t>
      </w:r>
    </w:p>
    <w:p w14:paraId="5BE89C84" w14:textId="77777777" w:rsidR="00E06E62" w:rsidRDefault="00E06E62" w:rsidP="00E06E62">
      <w:pPr>
        <w:spacing w:after="120" w:line="240" w:lineRule="auto"/>
        <w:ind w:left="43" w:firstLine="0"/>
      </w:pPr>
      <w:r>
        <w:rPr>
          <w:rFonts w:ascii="Calibri" w:eastAsia="Calibri" w:hAnsi="Calibri" w:cs="Calibri"/>
          <w:noProof/>
        </w:rPr>
        <mc:AlternateContent>
          <mc:Choice Requires="wpg">
            <w:drawing>
              <wp:inline distT="0" distB="0" distL="0" distR="0" wp14:anchorId="05C948B3" wp14:editId="15F6BF37">
                <wp:extent cx="6858000" cy="25400"/>
                <wp:effectExtent l="0" t="0" r="0" b="0"/>
                <wp:docPr id="33984034" name="Group 33984034"/>
                <wp:cNvGraphicFramePr/>
                <a:graphic xmlns:a="http://schemas.openxmlformats.org/drawingml/2006/main">
                  <a:graphicData uri="http://schemas.microsoft.com/office/word/2010/wordprocessingGroup">
                    <wpg:wgp>
                      <wpg:cNvGrpSpPr/>
                      <wpg:grpSpPr>
                        <a:xfrm>
                          <a:off x="0" y="0"/>
                          <a:ext cx="6858000" cy="25400"/>
                          <a:chOff x="0" y="0"/>
                          <a:chExt cx="6858013" cy="25400"/>
                        </a:xfrm>
                      </wpg:grpSpPr>
                      <wps:wsp>
                        <wps:cNvPr id="1403914423" name="Shape 93"/>
                        <wps:cNvSpPr/>
                        <wps:spPr>
                          <a:xfrm>
                            <a:off x="0" y="0"/>
                            <a:ext cx="6858013" cy="0"/>
                          </a:xfrm>
                          <a:custGeom>
                            <a:avLst/>
                            <a:gdLst/>
                            <a:ahLst/>
                            <a:cxnLst/>
                            <a:rect l="0" t="0" r="0" b="0"/>
                            <a:pathLst>
                              <a:path w="6858013">
                                <a:moveTo>
                                  <a:pt x="0" y="0"/>
                                </a:moveTo>
                                <a:lnTo>
                                  <a:pt x="6858013"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D1CA4C" id="Group 33984034" o:spid="_x0000_s1026" style="width:540pt;height:2pt;mso-position-horizontal-relative:char;mso-position-vertical-relative:lin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J1VgIAAKYFAAAOAAAAZHJzL2Uyb0RvYy54bWykVMtu2zAQvBfoPxC615IfCRzBdg5J60vR&#10;Bk36AWuKlARQJEHSlv33Xa4edhy0QBMf5JW4O5wZLnd1f2wUOwjna6PXyXSSJUxobopal+vk98u3&#10;L8uE+QC6AGW0WCcn4ZP7zedPq9bmYmYqowrhGIJon7d2nVQh2DxNPa9EA35irNC4KI1rIOCrK9PC&#10;QYvojUpnWXabtsYV1hkuvMevj91isiF8KQUPP6X0IjC1TpBboKej5y4+080K8tKBrWre04B3sGig&#10;1rjpCPUIAdje1W+gmpo7440ME26a1EhZc0EaUM00u1KzdWZvSUuZt6UdbUJrr3x6Nyz/cdg6+2yf&#10;HDrR2hK9oLeo5ShdE/+RJTuSZafRMnEMjOPH2+XNMsvQWY5rs5sFhmQpr9D3N1W8+npZN51f1aXD&#10;pukrKq3F5vBn/f5j+p8rsIJs9Tnqf3KsLrB3F9n8brpYzJCUhgZ7lfLY3TwqihQwdzTK5x49+y+X&#10;BrXk0KgUcr73YSsMWQ2H7z50PVkMEVRDxI96CB129j972kKIdZFhDFnbnxWyiN8acxAvhlbD1TEh&#10;tfOq0pdZdNpRx9AImNtlYBC32az6gLbG+FKc0pFF1ySMA952qSAQHWx0XaBuwsO/aHdnMEXhpETk&#10;qvQvIfG0sPGmVOdduXtQjh0g3m/6xdMiGEyNNbJWaqzK/loVU0HZCnqsHqbfgCB7pJgpaLRcw/Ke&#10;TTdf8JbivRimDFIai4iW0WGs1zgbacMLtTHcmeJEN5MMwStA1tAwIEb94IrT5vKdss7jdfMHAAD/&#10;/wMAUEsDBBQABgAIAAAAIQDSInFB2wAAAAQBAAAPAAAAZHJzL2Rvd25yZXYueG1sTI9Ba8JAEIXv&#10;hf6HZQre6m6qLZJmIyKtJylUC6W3MTsmwexsyK5J/Pdde6mXB483vPdNthxtI3rqfO1YQzJVIIgL&#10;Z2ouNXzt3x8XIHxANtg4Jg0X8rDM7+8yTI0b+JP6XShFLGGfooYqhDaV0hcVWfRT1xLH7Og6iyHa&#10;rpSmwyGW20Y+KfUiLdYcFypsaV1RcdqdrYbNgMNqlrz129NxffnZP398bxPSevIwrl5BBBrD/zFc&#10;8SM65JHp4M5svGg0xEfCn14ztVDRHzTMFcg8k7fw+S8AAAD//wMAUEsBAi0AFAAGAAgAAAAhALaD&#10;OJL+AAAA4QEAABMAAAAAAAAAAAAAAAAAAAAAAFtDb250ZW50X1R5cGVzXS54bWxQSwECLQAUAAYA&#10;CAAAACEAOP0h/9YAAACUAQAACwAAAAAAAAAAAAAAAAAvAQAAX3JlbHMvLnJlbHNQSwECLQAUAAYA&#10;CAAAACEABVRCdVYCAACmBQAADgAAAAAAAAAAAAAAAAAuAgAAZHJzL2Uyb0RvYy54bWxQSwECLQAU&#10;AAYACAAAACEA0iJxQdsAAAAEAQAADwAAAAAAAAAAAAAAAACwBAAAZHJzL2Rvd25yZXYueG1sUEsF&#10;BgAAAAAEAAQA8wAAALgFAAAAAA==&#10;">
                <v:shape id="Shape 93" o:spid="_x0000_s1027" style="position:absolute;width:68580;height:0;visibility:visible;mso-wrap-style:square;v-text-anchor:top" coordsize="685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89yAAAAOMAAAAPAAAAZHJzL2Rvd25yZXYueG1sRE9fT8Iw&#10;EH838Ts0Z8KbdLBpcFKIgRB5ICBofL6s57a4XktbYH57amLi4/3+33Tem06cyYfWsoLRMANBXFnd&#10;cq3g4311PwERIrLGzjIp+KEA89ntzRRLbS+8p/Mh1iKFcChRQROjK6UMVUMGw9A64sR9WW8wptPX&#10;Unu8pHDTyXGWPUqDLaeGBh0tGqq+DyejIP/cHN/2O1ef/HI7eTAVr1fuVanBXf/yDCJSH//Ff+61&#10;TvOLLH8aFcU4h9+fEgBydgUAAP//AwBQSwECLQAUAAYACAAAACEA2+H2y+4AAACFAQAAEwAAAAAA&#10;AAAAAAAAAAAAAAAAW0NvbnRlbnRfVHlwZXNdLnhtbFBLAQItABQABgAIAAAAIQBa9CxbvwAAABUB&#10;AAALAAAAAAAAAAAAAAAAAB8BAABfcmVscy8ucmVsc1BLAQItABQABgAIAAAAIQCySS89yAAAAOMA&#10;AAAPAAAAAAAAAAAAAAAAAAcCAABkcnMvZG93bnJldi54bWxQSwUGAAAAAAMAAwC3AAAA/AIAAAAA&#10;" path="m,l6858013,e" filled="f" strokeweight="2pt">
                  <v:path arrowok="t" textboxrect="0,0,6858013,0"/>
                </v:shape>
                <w10:anchorlock/>
              </v:group>
            </w:pict>
          </mc:Fallback>
        </mc:AlternateContent>
      </w:r>
    </w:p>
    <w:p w14:paraId="3DAA4860" w14:textId="25D764EC" w:rsidR="00E06E62" w:rsidRPr="00725099" w:rsidRDefault="00E06E62" w:rsidP="00E06E62">
      <w:pPr>
        <w:spacing w:after="0"/>
        <w:rPr>
          <w:szCs w:val="22"/>
        </w:rPr>
      </w:pPr>
      <w:r>
        <w:rPr>
          <w:b/>
          <w:bCs/>
          <w:color w:val="72246C"/>
          <w:sz w:val="28"/>
          <w:szCs w:val="28"/>
        </w:rPr>
        <w:t xml:space="preserve">Peer Review </w:t>
      </w:r>
      <w:r w:rsidR="000F1C10">
        <w:rPr>
          <w:b/>
          <w:bCs/>
          <w:color w:val="72246C"/>
          <w:sz w:val="28"/>
          <w:szCs w:val="28"/>
        </w:rPr>
        <w:t>r</w:t>
      </w:r>
      <w:r>
        <w:rPr>
          <w:b/>
          <w:bCs/>
          <w:color w:val="72246C"/>
          <w:sz w:val="28"/>
          <w:szCs w:val="28"/>
        </w:rPr>
        <w:t>eminders</w:t>
      </w:r>
    </w:p>
    <w:p w14:paraId="48A76670" w14:textId="019B7FEF" w:rsidR="00E06E62" w:rsidRPr="00F04367" w:rsidRDefault="008F0F73" w:rsidP="00E06E62">
      <w:pPr>
        <w:spacing w:after="0"/>
        <w:ind w:left="57" w:hanging="14"/>
        <w:rPr>
          <w:color w:val="72246C"/>
          <w:sz w:val="28"/>
          <w:szCs w:val="28"/>
        </w:rPr>
      </w:pPr>
      <w:r>
        <w:rPr>
          <w:color w:val="72246C"/>
          <w:sz w:val="28"/>
          <w:szCs w:val="28"/>
        </w:rPr>
        <w:t xml:space="preserve">Are you </w:t>
      </w:r>
      <w:r w:rsidR="00287ECF">
        <w:rPr>
          <w:color w:val="72246C"/>
          <w:sz w:val="28"/>
          <w:szCs w:val="28"/>
        </w:rPr>
        <w:t>interested in becoming</w:t>
      </w:r>
      <w:r>
        <w:rPr>
          <w:color w:val="72246C"/>
          <w:sz w:val="28"/>
          <w:szCs w:val="28"/>
        </w:rPr>
        <w:t xml:space="preserve"> a</w:t>
      </w:r>
      <w:r w:rsidR="006579BE">
        <w:rPr>
          <w:color w:val="72246C"/>
          <w:sz w:val="28"/>
          <w:szCs w:val="28"/>
        </w:rPr>
        <w:t xml:space="preserve"> p</w:t>
      </w:r>
      <w:r>
        <w:rPr>
          <w:color w:val="72246C"/>
          <w:sz w:val="28"/>
          <w:szCs w:val="28"/>
        </w:rPr>
        <w:t xml:space="preserve">eer </w:t>
      </w:r>
      <w:r w:rsidR="006579BE">
        <w:rPr>
          <w:color w:val="72246C"/>
          <w:sz w:val="28"/>
          <w:szCs w:val="28"/>
        </w:rPr>
        <w:t>r</w:t>
      </w:r>
      <w:r>
        <w:rPr>
          <w:color w:val="72246C"/>
          <w:sz w:val="28"/>
          <w:szCs w:val="28"/>
        </w:rPr>
        <w:t>eview</w:t>
      </w:r>
      <w:r w:rsidR="006579BE">
        <w:rPr>
          <w:color w:val="72246C"/>
          <w:sz w:val="28"/>
          <w:szCs w:val="28"/>
        </w:rPr>
        <w:t>er</w:t>
      </w:r>
      <w:r>
        <w:rPr>
          <w:color w:val="72246C"/>
          <w:sz w:val="28"/>
          <w:szCs w:val="28"/>
        </w:rPr>
        <w:t>?</w:t>
      </w:r>
    </w:p>
    <w:p w14:paraId="33F213C4" w14:textId="2AF524DF" w:rsidR="00071EE5" w:rsidRDefault="008F0F73" w:rsidP="008F0F73">
      <w:pPr>
        <w:spacing w:after="120"/>
        <w:ind w:left="57" w:hanging="14"/>
        <w:rPr>
          <w:szCs w:val="22"/>
        </w:rPr>
      </w:pPr>
      <w:r>
        <w:rPr>
          <w:szCs w:val="22"/>
        </w:rPr>
        <w:t xml:space="preserve">Check out </w:t>
      </w:r>
      <w:r w:rsidR="00287ECF">
        <w:rPr>
          <w:szCs w:val="22"/>
        </w:rPr>
        <w:t>the</w:t>
      </w:r>
      <w:r>
        <w:rPr>
          <w:szCs w:val="22"/>
        </w:rPr>
        <w:t xml:space="preserve"> </w:t>
      </w:r>
      <w:hyperlink r:id="rId57" w:history="1">
        <w:r>
          <w:rPr>
            <w:rStyle w:val="Hyperlink"/>
            <w:szCs w:val="22"/>
          </w:rPr>
          <w:t>How to Become a Peer Reviewer</w:t>
        </w:r>
      </w:hyperlink>
      <w:r>
        <w:rPr>
          <w:szCs w:val="22"/>
        </w:rPr>
        <w:t xml:space="preserve"> webpage for details! You may also email </w:t>
      </w:r>
      <w:hyperlink r:id="rId58" w:history="1">
        <w:r w:rsidRPr="008F0F73">
          <w:rPr>
            <w:rStyle w:val="Hyperlink"/>
            <w:szCs w:val="22"/>
          </w:rPr>
          <w:t>BecomeAReviewer@aicpa.org</w:t>
        </w:r>
      </w:hyperlink>
      <w:r>
        <w:rPr>
          <w:szCs w:val="22"/>
        </w:rPr>
        <w:t xml:space="preserve"> for more information.</w:t>
      </w:r>
    </w:p>
    <w:p w14:paraId="5EC82939" w14:textId="77ED1AD7" w:rsidR="008F0F73" w:rsidRPr="00F04367" w:rsidRDefault="006579BE" w:rsidP="008F0F73">
      <w:pPr>
        <w:spacing w:after="0"/>
        <w:ind w:left="57" w:hanging="14"/>
        <w:rPr>
          <w:color w:val="72246C"/>
          <w:sz w:val="28"/>
          <w:szCs w:val="28"/>
        </w:rPr>
      </w:pPr>
      <w:r>
        <w:rPr>
          <w:color w:val="72246C"/>
          <w:sz w:val="28"/>
          <w:szCs w:val="28"/>
        </w:rPr>
        <w:t>Are you looking for a peer reviewer?</w:t>
      </w:r>
    </w:p>
    <w:p w14:paraId="16B5FD6E" w14:textId="0580D2E2" w:rsidR="008F0F73" w:rsidRDefault="008F0F73" w:rsidP="008F0F73">
      <w:pPr>
        <w:spacing w:after="120"/>
        <w:ind w:left="57" w:hanging="14"/>
        <w:rPr>
          <w:szCs w:val="22"/>
        </w:rPr>
      </w:pPr>
      <w:r>
        <w:rPr>
          <w:szCs w:val="22"/>
        </w:rPr>
        <w:t xml:space="preserve">As a reminder, the clarified Peer Review standards that became effective May 1, </w:t>
      </w:r>
      <w:proofErr w:type="gramStart"/>
      <w:r>
        <w:rPr>
          <w:szCs w:val="22"/>
        </w:rPr>
        <w:t>2022</w:t>
      </w:r>
      <w:proofErr w:type="gramEnd"/>
      <w:r>
        <w:rPr>
          <w:szCs w:val="22"/>
        </w:rPr>
        <w:t xml:space="preserve"> removed the requirement for most system review procedures to be performed at the reviewed firm’s location. As a result, you can </w:t>
      </w:r>
      <w:r w:rsidR="006579BE">
        <w:rPr>
          <w:szCs w:val="22"/>
        </w:rPr>
        <w:t xml:space="preserve">use the </w:t>
      </w:r>
      <w:hyperlink r:id="rId59" w:history="1">
        <w:r w:rsidR="006579BE" w:rsidRPr="006579BE">
          <w:rPr>
            <w:rStyle w:val="Hyperlink"/>
            <w:szCs w:val="22"/>
          </w:rPr>
          <w:t>Reviewer Search</w:t>
        </w:r>
      </w:hyperlink>
      <w:r w:rsidR="006579BE">
        <w:rPr>
          <w:szCs w:val="22"/>
        </w:rPr>
        <w:t xml:space="preserve"> and contact any reviewer for assistance – no matter where they are located!</w:t>
      </w:r>
    </w:p>
    <w:p w14:paraId="59759230" w14:textId="77777777" w:rsidR="00023987" w:rsidRPr="00F031E6" w:rsidRDefault="00023987" w:rsidP="003E7CA4">
      <w:pPr>
        <w:spacing w:after="0"/>
        <w:ind w:left="0" w:firstLine="0"/>
        <w:rPr>
          <w:szCs w:val="22"/>
        </w:rPr>
      </w:pPr>
    </w:p>
    <w:p w14:paraId="6464E001" w14:textId="77777777" w:rsidR="00FB2769" w:rsidRDefault="00FB2769" w:rsidP="00303F4C">
      <w:pPr>
        <w:ind w:left="0" w:firstLine="0"/>
      </w:pPr>
    </w:p>
    <w:tbl>
      <w:tblPr>
        <w:tblStyle w:val="TableGrid"/>
        <w:tblpPr w:leftFromText="180" w:rightFromText="180" w:vertAnchor="text" w:horzAnchor="margin" w:tblpY="-27"/>
        <w:tblW w:w="10880" w:type="dxa"/>
        <w:tblInd w:w="0" w:type="dxa"/>
        <w:tblCellMar>
          <w:top w:w="86" w:type="dxa"/>
          <w:left w:w="57" w:type="dxa"/>
          <w:right w:w="115" w:type="dxa"/>
        </w:tblCellMar>
        <w:tblLook w:val="04A0" w:firstRow="1" w:lastRow="0" w:firstColumn="1" w:lastColumn="0" w:noHBand="0" w:noVBand="1"/>
      </w:tblPr>
      <w:tblGrid>
        <w:gridCol w:w="10880"/>
      </w:tblGrid>
      <w:tr w:rsidR="00717AB6" w14:paraId="613DCCDC" w14:textId="77777777" w:rsidTr="00717AB6">
        <w:trPr>
          <w:trHeight w:val="391"/>
        </w:trPr>
        <w:tc>
          <w:tcPr>
            <w:tcW w:w="10880" w:type="dxa"/>
            <w:tcBorders>
              <w:top w:val="nil"/>
              <w:left w:val="nil"/>
              <w:bottom w:val="nil"/>
              <w:right w:val="nil"/>
            </w:tcBorders>
            <w:shd w:val="clear" w:color="auto" w:fill="72246C"/>
          </w:tcPr>
          <w:p w14:paraId="47603034" w14:textId="77777777" w:rsidR="00717AB6" w:rsidRDefault="00717AB6" w:rsidP="00717AB6">
            <w:pPr>
              <w:spacing w:after="0" w:line="259" w:lineRule="auto"/>
              <w:ind w:left="0" w:firstLine="0"/>
            </w:pPr>
          </w:p>
          <w:p w14:paraId="50261D45" w14:textId="77777777" w:rsidR="00717AB6" w:rsidRDefault="00717AB6" w:rsidP="00717AB6">
            <w:pPr>
              <w:spacing w:after="0" w:line="259" w:lineRule="auto"/>
              <w:ind w:left="0" w:firstLine="0"/>
            </w:pPr>
          </w:p>
        </w:tc>
      </w:tr>
    </w:tbl>
    <w:p w14:paraId="2EAE870B" w14:textId="77777777" w:rsidR="00717AB6" w:rsidRDefault="00717AB6" w:rsidP="00303F4C">
      <w:pPr>
        <w:ind w:left="0" w:firstLine="0"/>
      </w:pPr>
    </w:p>
    <w:p w14:paraId="509EFE2C" w14:textId="77777777" w:rsidR="00717AB6" w:rsidRDefault="00717AB6" w:rsidP="00303F4C">
      <w:pPr>
        <w:ind w:left="0" w:firstLine="0"/>
      </w:pPr>
    </w:p>
    <w:p w14:paraId="043B6CE1" w14:textId="77777777" w:rsidR="00717AB6" w:rsidRDefault="00717AB6" w:rsidP="00303F4C">
      <w:pPr>
        <w:ind w:left="0" w:firstLine="0"/>
      </w:pPr>
    </w:p>
    <w:sectPr w:rsidR="00717AB6" w:rsidSect="00B36508">
      <w:headerReference w:type="default" r:id="rId60"/>
      <w:footerReference w:type="default" r:id="rId61"/>
      <w:pgSz w:w="12240" w:h="15840"/>
      <w:pgMar w:top="720" w:right="720" w:bottom="720" w:left="720" w:header="0"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FC564" w14:textId="77777777" w:rsidR="00F252DA" w:rsidRDefault="00F252DA" w:rsidP="00F252DA">
      <w:pPr>
        <w:spacing w:after="0" w:line="240" w:lineRule="auto"/>
      </w:pPr>
      <w:r>
        <w:separator/>
      </w:r>
    </w:p>
  </w:endnote>
  <w:endnote w:type="continuationSeparator" w:id="0">
    <w:p w14:paraId="1144B096" w14:textId="77777777" w:rsidR="00F252DA" w:rsidRDefault="00F252DA" w:rsidP="00F25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1142474"/>
      <w:docPartObj>
        <w:docPartGallery w:val="Page Numbers (Bottom of Page)"/>
        <w:docPartUnique/>
      </w:docPartObj>
    </w:sdtPr>
    <w:sdtEndPr>
      <w:rPr>
        <w:color w:val="7F7F7F" w:themeColor="background1" w:themeShade="7F"/>
        <w:spacing w:val="60"/>
      </w:rPr>
    </w:sdtEndPr>
    <w:sdtContent>
      <w:p w14:paraId="6883D082" w14:textId="27E6C6C7" w:rsidR="00F62049" w:rsidRDefault="00F62049" w:rsidP="00F6204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p>
    </w:sdtContent>
  </w:sdt>
  <w:p w14:paraId="3F4A42FF" w14:textId="77777777" w:rsidR="00435F1C" w:rsidRDefault="00435F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0B34BA" w14:textId="77777777" w:rsidR="00F252DA" w:rsidRDefault="00F252DA" w:rsidP="00F252DA">
      <w:pPr>
        <w:spacing w:after="0" w:line="240" w:lineRule="auto"/>
      </w:pPr>
      <w:r>
        <w:separator/>
      </w:r>
    </w:p>
  </w:footnote>
  <w:footnote w:type="continuationSeparator" w:id="0">
    <w:p w14:paraId="4E4F3961" w14:textId="77777777" w:rsidR="00F252DA" w:rsidRDefault="00F252DA" w:rsidP="00F252DA">
      <w:pPr>
        <w:spacing w:after="0" w:line="240" w:lineRule="auto"/>
      </w:pPr>
      <w:r>
        <w:continuationSeparator/>
      </w:r>
    </w:p>
  </w:footnote>
  <w:footnote w:id="1">
    <w:p w14:paraId="661D1730" w14:textId="77777777" w:rsidR="00F252DA" w:rsidRPr="00A376F5" w:rsidRDefault="00F252DA" w:rsidP="00F252DA">
      <w:pPr>
        <w:pStyle w:val="FootnoteText"/>
        <w:rPr>
          <w:rFonts w:ascii="Arial" w:hAnsi="Arial" w:cs="Arial"/>
          <w:sz w:val="14"/>
          <w:szCs w:val="14"/>
        </w:rPr>
      </w:pPr>
      <w:r w:rsidRPr="00A376F5">
        <w:rPr>
          <w:rStyle w:val="FootnoteReference"/>
          <w:rFonts w:ascii="Arial" w:hAnsi="Arial" w:cs="Arial"/>
          <w:sz w:val="14"/>
          <w:szCs w:val="14"/>
        </w:rPr>
        <w:footnoteRef/>
      </w:r>
      <w:r w:rsidRPr="00A376F5">
        <w:rPr>
          <w:rFonts w:ascii="Arial" w:hAnsi="Arial" w:cs="Arial"/>
          <w:sz w:val="14"/>
          <w:szCs w:val="14"/>
        </w:rPr>
        <w:t xml:space="preserve"> The AICPA Code of Professional Conduct </w:t>
      </w:r>
      <w:r w:rsidRPr="00A376F5">
        <w:rPr>
          <w:rFonts w:ascii="Arial" w:hAnsi="Arial" w:cs="Arial"/>
          <w:i/>
          <w:iCs/>
          <w:sz w:val="14"/>
          <w:szCs w:val="14"/>
        </w:rPr>
        <w:t xml:space="preserve">interpretation Information Systems Design, </w:t>
      </w:r>
      <w:proofErr w:type="gramStart"/>
      <w:r w:rsidRPr="00A376F5">
        <w:rPr>
          <w:rFonts w:ascii="Arial" w:hAnsi="Arial" w:cs="Arial"/>
          <w:i/>
          <w:iCs/>
          <w:sz w:val="14"/>
          <w:szCs w:val="14"/>
        </w:rPr>
        <w:t>Implementation</w:t>
      </w:r>
      <w:proofErr w:type="gramEnd"/>
      <w:r w:rsidRPr="00A376F5">
        <w:rPr>
          <w:rFonts w:ascii="Arial" w:hAnsi="Arial" w:cs="Arial"/>
          <w:i/>
          <w:iCs/>
          <w:sz w:val="14"/>
          <w:szCs w:val="14"/>
        </w:rPr>
        <w:t xml:space="preserve"> or Integration </w:t>
      </w:r>
      <w:r w:rsidRPr="00A376F5">
        <w:rPr>
          <w:rFonts w:ascii="Arial" w:hAnsi="Arial" w:cs="Arial"/>
          <w:sz w:val="14"/>
          <w:szCs w:val="14"/>
        </w:rPr>
        <w:t xml:space="preserve">(ET Section 1.295.145) provides additional information regarding information system services that cannot be provided without impairing independence.  </w:t>
      </w:r>
    </w:p>
  </w:footnote>
  <w:footnote w:id="2">
    <w:p w14:paraId="050F6CF3" w14:textId="77777777" w:rsidR="00F252DA" w:rsidRPr="00A376F5" w:rsidRDefault="00F252DA" w:rsidP="00F252DA">
      <w:pPr>
        <w:pStyle w:val="FootnoteText"/>
        <w:rPr>
          <w:rFonts w:ascii="Arial" w:hAnsi="Arial" w:cs="Arial"/>
          <w:sz w:val="14"/>
          <w:szCs w:val="14"/>
        </w:rPr>
      </w:pPr>
      <w:r w:rsidRPr="00A376F5">
        <w:rPr>
          <w:rStyle w:val="FootnoteReference"/>
          <w:rFonts w:ascii="Arial" w:hAnsi="Arial" w:cs="Arial"/>
          <w:sz w:val="14"/>
          <w:szCs w:val="14"/>
        </w:rPr>
        <w:footnoteRef/>
      </w:r>
      <w:r w:rsidRPr="00A376F5">
        <w:rPr>
          <w:rFonts w:ascii="Arial" w:hAnsi="Arial" w:cs="Arial"/>
          <w:sz w:val="14"/>
          <w:szCs w:val="14"/>
        </w:rPr>
        <w:t xml:space="preserve"> </w:t>
      </w:r>
      <w:hyperlink r:id="rId1" w:tgtFrame="_blank" w:history="1">
        <w:r w:rsidRPr="00A376F5">
          <w:rPr>
            <w:rStyle w:val="normaltextrun"/>
            <w:rFonts w:ascii="Arial" w:hAnsi="Arial" w:cs="Arial"/>
            <w:color w:val="0563C1"/>
            <w:sz w:val="14"/>
            <w:szCs w:val="14"/>
            <w:shd w:val="clear" w:color="auto" w:fill="FFFFFF"/>
          </w:rPr>
          <w:t>Information Systems Services (1.295.145)</w:t>
        </w:r>
      </w:hyperlink>
    </w:p>
  </w:footnote>
  <w:footnote w:id="3">
    <w:p w14:paraId="3BD357F5" w14:textId="77777777" w:rsidR="00F252DA" w:rsidRPr="00A376F5" w:rsidRDefault="00F252DA" w:rsidP="00F252DA">
      <w:pPr>
        <w:pStyle w:val="FootnoteText"/>
        <w:rPr>
          <w:rFonts w:ascii="Arial" w:hAnsi="Arial" w:cs="Arial"/>
          <w:sz w:val="14"/>
          <w:szCs w:val="14"/>
        </w:rPr>
      </w:pPr>
      <w:r w:rsidRPr="00A376F5">
        <w:rPr>
          <w:rStyle w:val="FootnoteReference"/>
          <w:rFonts w:ascii="Arial" w:hAnsi="Arial" w:cs="Arial"/>
          <w:sz w:val="14"/>
          <w:szCs w:val="14"/>
        </w:rPr>
        <w:footnoteRef/>
      </w:r>
      <w:r w:rsidRPr="00A376F5">
        <w:rPr>
          <w:rFonts w:ascii="Arial" w:hAnsi="Arial" w:cs="Arial"/>
          <w:sz w:val="14"/>
          <w:szCs w:val="14"/>
        </w:rPr>
        <w:t xml:space="preserve"> </w:t>
      </w:r>
      <w:hyperlink r:id="rId2" w:tgtFrame="_blank" w:history="1">
        <w:r w:rsidRPr="00A376F5">
          <w:rPr>
            <w:rStyle w:val="normaltextrun"/>
            <w:rFonts w:ascii="Arial" w:hAnsi="Arial" w:cs="Arial"/>
            <w:color w:val="0563C1"/>
            <w:sz w:val="14"/>
            <w:szCs w:val="14"/>
            <w:shd w:val="clear" w:color="auto" w:fill="FFFFFF"/>
          </w:rPr>
          <w:t>Ownership of a Separate Business (1.810.010)</w:t>
        </w:r>
      </w:hyperlink>
    </w:p>
  </w:footnote>
  <w:footnote w:id="4">
    <w:p w14:paraId="35E215E4" w14:textId="77777777" w:rsidR="00F252DA" w:rsidRPr="00A376F5" w:rsidRDefault="00F252DA" w:rsidP="00F252DA">
      <w:pPr>
        <w:pStyle w:val="FootnoteText"/>
        <w:rPr>
          <w:rFonts w:ascii="Arial" w:hAnsi="Arial" w:cs="Arial"/>
          <w:sz w:val="14"/>
          <w:szCs w:val="14"/>
        </w:rPr>
      </w:pPr>
      <w:r w:rsidRPr="00A376F5">
        <w:rPr>
          <w:rStyle w:val="FootnoteReference"/>
          <w:rFonts w:ascii="Arial" w:hAnsi="Arial" w:cs="Arial"/>
          <w:sz w:val="14"/>
          <w:szCs w:val="14"/>
        </w:rPr>
        <w:footnoteRef/>
      </w:r>
      <w:r w:rsidRPr="00A376F5">
        <w:rPr>
          <w:rFonts w:ascii="Arial" w:hAnsi="Arial" w:cs="Arial"/>
          <w:sz w:val="14"/>
          <w:szCs w:val="14"/>
        </w:rPr>
        <w:t xml:space="preserve"> </w:t>
      </w:r>
      <w:hyperlink r:id="rId3" w:tgtFrame="_blank" w:history="1">
        <w:r w:rsidRPr="00A376F5">
          <w:rPr>
            <w:rStyle w:val="normaltextrun"/>
            <w:rFonts w:ascii="Arial" w:hAnsi="Arial" w:cs="Arial"/>
            <w:color w:val="0563C1"/>
            <w:sz w:val="14"/>
            <w:szCs w:val="14"/>
            <w:shd w:val="clear" w:color="auto" w:fill="FFFFFF"/>
          </w:rPr>
          <w:t>Network and Network Firms (1.220.010)</w:t>
        </w:r>
      </w:hyperlink>
      <w:r w:rsidRPr="00A376F5">
        <w:rPr>
          <w:rStyle w:val="normaltextrun"/>
          <w:rFonts w:ascii="Arial" w:hAnsi="Arial" w:cs="Arial"/>
          <w:color w:val="000000"/>
          <w:sz w:val="14"/>
          <w:szCs w:val="14"/>
          <w:shd w:val="clear" w:color="auto" w:fill="FFFFFF"/>
        </w:rPr>
        <w:t> </w:t>
      </w:r>
    </w:p>
  </w:footnote>
  <w:footnote w:id="5">
    <w:p w14:paraId="3D6E9509" w14:textId="2AEF588F" w:rsidR="00F252DA" w:rsidRPr="00A376F5" w:rsidRDefault="00F252DA" w:rsidP="00F252DA">
      <w:pPr>
        <w:pStyle w:val="FootnoteText"/>
        <w:rPr>
          <w:rFonts w:ascii="Arial" w:hAnsi="Arial" w:cs="Arial"/>
          <w:sz w:val="14"/>
          <w:szCs w:val="14"/>
        </w:rPr>
      </w:pPr>
      <w:r w:rsidRPr="00A376F5">
        <w:rPr>
          <w:rStyle w:val="FootnoteReference"/>
          <w:rFonts w:ascii="Arial" w:hAnsi="Arial" w:cs="Arial"/>
          <w:sz w:val="14"/>
          <w:szCs w:val="14"/>
        </w:rPr>
        <w:footnoteRef/>
      </w:r>
      <w:r w:rsidRPr="00A376F5">
        <w:rPr>
          <w:rFonts w:ascii="Arial" w:hAnsi="Arial" w:cs="Arial"/>
          <w:sz w:val="14"/>
          <w:szCs w:val="14"/>
        </w:rPr>
        <w:t xml:space="preserve"> </w:t>
      </w:r>
      <w:hyperlink r:id="rId4" w:tgtFrame="_blank" w:history="1">
        <w:r w:rsidRPr="00A376F5">
          <w:rPr>
            <w:rStyle w:val="normaltextrun"/>
            <w:rFonts w:ascii="Arial" w:hAnsi="Arial" w:cs="Arial"/>
            <w:color w:val="0563C1"/>
            <w:sz w:val="14"/>
            <w:szCs w:val="14"/>
            <w:shd w:val="clear" w:color="auto" w:fill="FFFFFF"/>
          </w:rPr>
          <w:t>Covered member (0.400.14)</w:t>
        </w:r>
      </w:hyperlink>
    </w:p>
  </w:footnote>
  <w:footnote w:id="6">
    <w:p w14:paraId="56583F81" w14:textId="77777777" w:rsidR="00F252DA" w:rsidRPr="00A376F5" w:rsidRDefault="00F252DA" w:rsidP="00F252DA">
      <w:pPr>
        <w:pStyle w:val="FootnoteText"/>
        <w:rPr>
          <w:rFonts w:ascii="Arial" w:hAnsi="Arial" w:cs="Arial"/>
          <w:sz w:val="14"/>
          <w:szCs w:val="14"/>
        </w:rPr>
      </w:pPr>
      <w:r w:rsidRPr="00A376F5">
        <w:rPr>
          <w:rStyle w:val="FootnoteReference"/>
          <w:rFonts w:ascii="Arial" w:hAnsi="Arial" w:cs="Arial"/>
          <w:sz w:val="14"/>
          <w:szCs w:val="14"/>
        </w:rPr>
        <w:footnoteRef/>
      </w:r>
      <w:r w:rsidRPr="00A376F5">
        <w:rPr>
          <w:rFonts w:ascii="Arial" w:hAnsi="Arial" w:cs="Arial"/>
          <w:sz w:val="14"/>
          <w:szCs w:val="14"/>
        </w:rPr>
        <w:t xml:space="preserve"> </w:t>
      </w:r>
      <w:hyperlink r:id="rId5" w:tgtFrame="_blank" w:history="1">
        <w:r w:rsidRPr="00A376F5">
          <w:rPr>
            <w:rStyle w:val="normaltextrun"/>
            <w:rFonts w:ascii="Arial" w:hAnsi="Arial" w:cs="Arial"/>
            <w:color w:val="0563C1"/>
            <w:sz w:val="14"/>
            <w:szCs w:val="14"/>
            <w:shd w:val="clear" w:color="auto" w:fill="FFFFFF"/>
          </w:rPr>
          <w:t>Alternative Practice Structures (1.220.020)</w:t>
        </w:r>
      </w:hyperlink>
      <w:r w:rsidRPr="00A376F5">
        <w:rPr>
          <w:rStyle w:val="normaltextrun"/>
          <w:rFonts w:ascii="Arial" w:hAnsi="Arial" w:cs="Arial"/>
          <w:color w:val="000000"/>
          <w:sz w:val="14"/>
          <w:szCs w:val="14"/>
          <w:shd w:val="clear" w:color="auto" w:fill="FFFFFF"/>
        </w:rPr>
        <w:t> </w:t>
      </w:r>
    </w:p>
  </w:footnote>
  <w:footnote w:id="7">
    <w:p w14:paraId="12890B69" w14:textId="77777777" w:rsidR="00F252DA" w:rsidRPr="00A376F5" w:rsidRDefault="00F252DA" w:rsidP="00F252DA">
      <w:pPr>
        <w:pStyle w:val="FootnoteText"/>
        <w:rPr>
          <w:rFonts w:ascii="Arial" w:hAnsi="Arial" w:cs="Arial"/>
          <w:sz w:val="14"/>
          <w:szCs w:val="14"/>
        </w:rPr>
      </w:pPr>
      <w:r w:rsidRPr="00A376F5">
        <w:rPr>
          <w:rStyle w:val="FootnoteReference"/>
          <w:rFonts w:ascii="Arial" w:hAnsi="Arial" w:cs="Arial"/>
          <w:sz w:val="14"/>
          <w:szCs w:val="14"/>
        </w:rPr>
        <w:footnoteRef/>
      </w:r>
      <w:r w:rsidRPr="00A376F5">
        <w:rPr>
          <w:rFonts w:ascii="Arial" w:hAnsi="Arial" w:cs="Arial"/>
          <w:sz w:val="14"/>
          <w:szCs w:val="14"/>
        </w:rPr>
        <w:t xml:space="preserve"> </w:t>
      </w:r>
      <w:hyperlink r:id="rId6" w:tgtFrame="_blank" w:history="1">
        <w:r w:rsidRPr="00A376F5">
          <w:rPr>
            <w:rStyle w:val="normaltextrun"/>
            <w:rFonts w:ascii="Arial" w:hAnsi="Arial" w:cs="Arial"/>
            <w:color w:val="0563C1"/>
            <w:sz w:val="14"/>
            <w:szCs w:val="14"/>
            <w:shd w:val="clear" w:color="auto" w:fill="FFFFFF"/>
          </w:rPr>
          <w:t>Ownership of a Separate Business (1.810.010.03)</w:t>
        </w:r>
      </w:hyperlink>
    </w:p>
  </w:footnote>
  <w:footnote w:id="8">
    <w:p w14:paraId="2E8782ED" w14:textId="77777777" w:rsidR="00F252DA" w:rsidRDefault="00F252DA" w:rsidP="00F252DA">
      <w:pPr>
        <w:pStyle w:val="FootnoteText"/>
        <w:tabs>
          <w:tab w:val="left" w:pos="4590"/>
        </w:tabs>
      </w:pPr>
      <w:r w:rsidRPr="00A376F5">
        <w:rPr>
          <w:rStyle w:val="FootnoteReference"/>
          <w:rFonts w:ascii="Arial" w:hAnsi="Arial" w:cs="Arial"/>
          <w:sz w:val="14"/>
          <w:szCs w:val="14"/>
        </w:rPr>
        <w:footnoteRef/>
      </w:r>
      <w:r w:rsidRPr="00A376F5">
        <w:rPr>
          <w:rFonts w:ascii="Arial" w:hAnsi="Arial" w:cs="Arial"/>
          <w:sz w:val="14"/>
          <w:szCs w:val="14"/>
        </w:rPr>
        <w:t xml:space="preserve"> </w:t>
      </w:r>
      <w:hyperlink r:id="rId7" w:tgtFrame="_blank" w:history="1">
        <w:r w:rsidRPr="00A376F5">
          <w:rPr>
            <w:rStyle w:val="normaltextrun"/>
            <w:rFonts w:ascii="Arial" w:hAnsi="Arial" w:cs="Arial"/>
            <w:color w:val="0563C1"/>
            <w:sz w:val="14"/>
            <w:szCs w:val="14"/>
            <w:shd w:val="clear" w:color="auto" w:fill="FFFFFF"/>
          </w:rPr>
          <w:t>Conceptual Framework for Independence (1.210.010)</w:t>
        </w:r>
      </w:hyperlink>
      <w:r>
        <w:rPr>
          <w:rStyle w:val="normaltextrun"/>
          <w:rFonts w:ascii="Arial" w:hAnsi="Arial" w:cs="Arial"/>
          <w:color w:val="000000"/>
          <w:shd w:val="clear" w:color="auto" w:fill="FFFFFF"/>
        </w:rPr>
        <w:t> </w:t>
      </w:r>
    </w:p>
  </w:footnote>
  <w:footnote w:id="9">
    <w:p w14:paraId="4A7F5DE6" w14:textId="05428D3D" w:rsidR="006579BE" w:rsidRPr="00A376F5" w:rsidRDefault="006579BE">
      <w:pPr>
        <w:pStyle w:val="FootnoteText"/>
        <w:rPr>
          <w:rFonts w:ascii="Arial" w:hAnsi="Arial" w:cs="Arial"/>
          <w:sz w:val="14"/>
          <w:szCs w:val="14"/>
        </w:rPr>
      </w:pPr>
      <w:r w:rsidRPr="00A376F5">
        <w:rPr>
          <w:rStyle w:val="FootnoteReference"/>
          <w:rFonts w:ascii="Arial" w:hAnsi="Arial" w:cs="Arial"/>
          <w:sz w:val="14"/>
          <w:szCs w:val="14"/>
        </w:rPr>
        <w:footnoteRef/>
      </w:r>
      <w:r w:rsidRPr="00A376F5">
        <w:rPr>
          <w:rFonts w:ascii="Arial" w:hAnsi="Arial" w:cs="Arial"/>
          <w:sz w:val="14"/>
          <w:szCs w:val="14"/>
        </w:rPr>
        <w:t xml:space="preserve"> </w:t>
      </w:r>
      <w:r w:rsidRPr="00A376F5">
        <w:rPr>
          <w:rStyle w:val="ui-provider"/>
          <w:rFonts w:ascii="Arial" w:hAnsi="Arial" w:cs="Arial"/>
          <w:sz w:val="14"/>
          <w:szCs w:val="14"/>
        </w:rPr>
        <w:t>Please note on April 4, 2024, the U.S. Office of Management and Budget (OMB) issued revisions to </w:t>
      </w:r>
      <w:hyperlink r:id="rId8" w:tgtFrame="_blank" w:tooltip="https://www.cfo.gov/assets/files/final%202%20cfr%20guidance%20-%204.3.2024%20-%20pre-publication%20version.pdf?utm_source=newsletter&amp;utm_medium=email&amp;utm_term=wed+apr+17+2024&amp;utm_campaign=omb+pre-releases+changes+to+uniform+guidance" w:history="1">
        <w:r w:rsidRPr="00A376F5">
          <w:rPr>
            <w:rStyle w:val="Hyperlink"/>
            <w:rFonts w:ascii="Arial" w:hAnsi="Arial" w:cs="Arial"/>
            <w:sz w:val="14"/>
            <w:szCs w:val="14"/>
          </w:rPr>
          <w:t xml:space="preserve">2 CFR 200, </w:t>
        </w:r>
        <w:r w:rsidRPr="00A376F5">
          <w:rPr>
            <w:rStyle w:val="Hyperlink"/>
            <w:rFonts w:ascii="Arial" w:hAnsi="Arial" w:cs="Arial"/>
            <w:i/>
            <w:iCs/>
            <w:sz w:val="14"/>
            <w:szCs w:val="14"/>
          </w:rPr>
          <w:t>Uniform Administrative Requirements, Cost Principles, and Audit Requirements for Federal Awards</w:t>
        </w:r>
      </w:hyperlink>
      <w:r w:rsidRPr="00A376F5">
        <w:rPr>
          <w:rStyle w:val="ui-provider"/>
          <w:rFonts w:ascii="Arial" w:hAnsi="Arial" w:cs="Arial"/>
          <w:sz w:val="14"/>
          <w:szCs w:val="14"/>
        </w:rPr>
        <w:t xml:space="preserve"> (Uniform Guidance). A key change includes, but is not limited to, increasing the threshold for a single or program-specific audit from $750,000 to $1 million. Stay tuned to the 2024 </w:t>
      </w:r>
      <w:r w:rsidRPr="00A376F5">
        <w:rPr>
          <w:rStyle w:val="ui-provider"/>
          <w:rFonts w:ascii="Arial" w:hAnsi="Arial" w:cs="Arial"/>
          <w:i/>
          <w:iCs/>
          <w:sz w:val="14"/>
          <w:szCs w:val="14"/>
        </w:rPr>
        <w:t>OMB Compliance Supplement</w:t>
      </w:r>
      <w:r w:rsidRPr="00A376F5">
        <w:rPr>
          <w:rStyle w:val="ui-provider"/>
          <w:rFonts w:ascii="Arial" w:hAnsi="Arial" w:cs="Arial"/>
          <w:sz w:val="14"/>
          <w:szCs w:val="14"/>
        </w:rPr>
        <w:t xml:space="preserve"> for information on when changes in Subpart F, </w:t>
      </w:r>
      <w:r w:rsidRPr="00A376F5">
        <w:rPr>
          <w:rStyle w:val="ui-provider"/>
          <w:rFonts w:ascii="Arial" w:hAnsi="Arial" w:cs="Arial"/>
          <w:i/>
          <w:iCs/>
          <w:sz w:val="14"/>
          <w:szCs w:val="14"/>
        </w:rPr>
        <w:t>Audit Requirements</w:t>
      </w:r>
      <w:r w:rsidRPr="00A376F5">
        <w:rPr>
          <w:rStyle w:val="ui-provider"/>
          <w:rFonts w:ascii="Arial" w:hAnsi="Arial" w:cs="Arial"/>
          <w:sz w:val="14"/>
          <w:szCs w:val="14"/>
        </w:rPr>
        <w:t>, take effect.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354B4" w14:textId="77777777" w:rsidR="00AA3945" w:rsidRDefault="00AA39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56D09"/>
    <w:multiLevelType w:val="hybridMultilevel"/>
    <w:tmpl w:val="839C67DA"/>
    <w:lvl w:ilvl="0" w:tplc="7FEE6F20">
      <w:start w:val="1"/>
      <w:numFmt w:val="bullet"/>
      <w:lvlText w:val="•"/>
      <w:lvlJc w:val="left"/>
      <w:pPr>
        <w:ind w:left="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965F8E">
      <w:start w:val="1"/>
      <w:numFmt w:val="bullet"/>
      <w:lvlText w:val="o"/>
      <w:lvlJc w:val="left"/>
      <w:pPr>
        <w:ind w:left="1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16EB96">
      <w:start w:val="1"/>
      <w:numFmt w:val="bullet"/>
      <w:lvlText w:val="▪"/>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2AED78">
      <w:start w:val="1"/>
      <w:numFmt w:val="bullet"/>
      <w:lvlText w:val="•"/>
      <w:lvlJc w:val="left"/>
      <w:pPr>
        <w:ind w:left="26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B6DC04">
      <w:start w:val="1"/>
      <w:numFmt w:val="bullet"/>
      <w:lvlText w:val="o"/>
      <w:lvlJc w:val="left"/>
      <w:pPr>
        <w:ind w:left="3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D41B30">
      <w:start w:val="1"/>
      <w:numFmt w:val="bullet"/>
      <w:lvlText w:val="▪"/>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E0DB8E">
      <w:start w:val="1"/>
      <w:numFmt w:val="bullet"/>
      <w:lvlText w:val="•"/>
      <w:lvlJc w:val="left"/>
      <w:pPr>
        <w:ind w:left="4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5CD260">
      <w:start w:val="1"/>
      <w:numFmt w:val="bullet"/>
      <w:lvlText w:val="o"/>
      <w:lvlJc w:val="left"/>
      <w:pPr>
        <w:ind w:left="5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8673B8">
      <w:start w:val="1"/>
      <w:numFmt w:val="bullet"/>
      <w:lvlText w:val="▪"/>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C97EFA"/>
    <w:multiLevelType w:val="hybridMultilevel"/>
    <w:tmpl w:val="FF76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C1DF6"/>
    <w:multiLevelType w:val="hybridMultilevel"/>
    <w:tmpl w:val="51B0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87BFF"/>
    <w:multiLevelType w:val="hybridMultilevel"/>
    <w:tmpl w:val="9250B4DA"/>
    <w:lvl w:ilvl="0" w:tplc="9C004E96">
      <w:start w:val="1"/>
      <w:numFmt w:val="bullet"/>
      <w:lvlText w:val="•"/>
      <w:lvlJc w:val="left"/>
      <w:pPr>
        <w:ind w:left="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669672">
      <w:start w:val="1"/>
      <w:numFmt w:val="bullet"/>
      <w:lvlText w:val="o"/>
      <w:lvlJc w:val="left"/>
      <w:pPr>
        <w:ind w:left="1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30ABB8">
      <w:start w:val="1"/>
      <w:numFmt w:val="bullet"/>
      <w:lvlText w:val="▪"/>
      <w:lvlJc w:val="left"/>
      <w:pPr>
        <w:ind w:left="18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E27F16">
      <w:start w:val="1"/>
      <w:numFmt w:val="bullet"/>
      <w:lvlText w:val="•"/>
      <w:lvlJc w:val="left"/>
      <w:pPr>
        <w:ind w:left="25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069488">
      <w:start w:val="1"/>
      <w:numFmt w:val="bullet"/>
      <w:lvlText w:val="o"/>
      <w:lvlJc w:val="left"/>
      <w:pPr>
        <w:ind w:left="32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0E849A">
      <w:start w:val="1"/>
      <w:numFmt w:val="bullet"/>
      <w:lvlText w:val="▪"/>
      <w:lvlJc w:val="left"/>
      <w:pPr>
        <w:ind w:left="39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E4915C">
      <w:start w:val="1"/>
      <w:numFmt w:val="bullet"/>
      <w:lvlText w:val="•"/>
      <w:lvlJc w:val="left"/>
      <w:pPr>
        <w:ind w:left="4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D62AEC">
      <w:start w:val="1"/>
      <w:numFmt w:val="bullet"/>
      <w:lvlText w:val="o"/>
      <w:lvlJc w:val="left"/>
      <w:pPr>
        <w:ind w:left="5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AC08D2">
      <w:start w:val="1"/>
      <w:numFmt w:val="bullet"/>
      <w:lvlText w:val="▪"/>
      <w:lvlJc w:val="left"/>
      <w:pPr>
        <w:ind w:left="6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53C1717"/>
    <w:multiLevelType w:val="hybridMultilevel"/>
    <w:tmpl w:val="FAFC4B60"/>
    <w:lvl w:ilvl="0" w:tplc="29D2AE2E">
      <w:start w:val="1"/>
      <w:numFmt w:val="bullet"/>
      <w:lvlText w:val="•"/>
      <w:lvlJc w:val="left"/>
      <w:pPr>
        <w:ind w:left="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98D676">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F1CAE3C">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6CA998">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E6C69E">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F63D0E">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0AEDEC">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4823FA">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BA6858">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71B7875"/>
    <w:multiLevelType w:val="hybridMultilevel"/>
    <w:tmpl w:val="BFC46B1A"/>
    <w:lvl w:ilvl="0" w:tplc="40DA74BE">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432118E"/>
    <w:multiLevelType w:val="hybridMultilevel"/>
    <w:tmpl w:val="6FDCA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126A69"/>
    <w:multiLevelType w:val="hybridMultilevel"/>
    <w:tmpl w:val="C22A387E"/>
    <w:lvl w:ilvl="0" w:tplc="8D209DCC">
      <w:start w:val="1"/>
      <w:numFmt w:val="bullet"/>
      <w:lvlText w:val=""/>
      <w:lvlJc w:val="left"/>
      <w:pPr>
        <w:ind w:left="72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EF02CEF"/>
    <w:multiLevelType w:val="hybridMultilevel"/>
    <w:tmpl w:val="0FE2B4FE"/>
    <w:lvl w:ilvl="0" w:tplc="0B344332">
      <w:start w:val="1"/>
      <w:numFmt w:val="bullet"/>
      <w:lvlText w:val="•"/>
      <w:lvlJc w:val="left"/>
      <w:pPr>
        <w:ind w:left="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6637B4">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1271D0">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1C33C6">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3CDDD4">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4051C6">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F52F9A0">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B815D4">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6A1AFA">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FA67DE8"/>
    <w:multiLevelType w:val="hybridMultilevel"/>
    <w:tmpl w:val="E2E29988"/>
    <w:lvl w:ilvl="0" w:tplc="04090001">
      <w:start w:val="1"/>
      <w:numFmt w:val="bullet"/>
      <w:lvlText w:val=""/>
      <w:lvlJc w:val="left"/>
      <w:pPr>
        <w:ind w:left="403" w:hanging="360"/>
      </w:pPr>
      <w:rPr>
        <w:rFonts w:ascii="Symbol" w:hAnsi="Symbol"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10" w15:restartNumberingAfterBreak="0">
    <w:nsid w:val="51BC66E3"/>
    <w:multiLevelType w:val="hybridMultilevel"/>
    <w:tmpl w:val="A7563E9E"/>
    <w:lvl w:ilvl="0" w:tplc="A818259C">
      <w:start w:val="1"/>
      <w:numFmt w:val="bullet"/>
      <w:lvlText w:val="•"/>
      <w:lvlJc w:val="left"/>
      <w:pPr>
        <w:ind w:left="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DC870C">
      <w:start w:val="1"/>
      <w:numFmt w:val="bullet"/>
      <w:lvlText w:val="o"/>
      <w:lvlJc w:val="left"/>
      <w:pPr>
        <w:ind w:left="1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C6151E">
      <w:start w:val="1"/>
      <w:numFmt w:val="bullet"/>
      <w:lvlText w:val="▪"/>
      <w:lvlJc w:val="left"/>
      <w:pPr>
        <w:ind w:left="19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D6D126">
      <w:start w:val="1"/>
      <w:numFmt w:val="bullet"/>
      <w:lvlText w:val="•"/>
      <w:lvlJc w:val="left"/>
      <w:pPr>
        <w:ind w:left="2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CC7654">
      <w:start w:val="1"/>
      <w:numFmt w:val="bullet"/>
      <w:lvlText w:val="o"/>
      <w:lvlJc w:val="left"/>
      <w:pPr>
        <w:ind w:left="34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ABAF31C">
      <w:start w:val="1"/>
      <w:numFmt w:val="bullet"/>
      <w:lvlText w:val="▪"/>
      <w:lvlJc w:val="left"/>
      <w:pPr>
        <w:ind w:left="41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568ABA0">
      <w:start w:val="1"/>
      <w:numFmt w:val="bullet"/>
      <w:lvlText w:val="•"/>
      <w:lvlJc w:val="left"/>
      <w:pPr>
        <w:ind w:left="48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427A34">
      <w:start w:val="1"/>
      <w:numFmt w:val="bullet"/>
      <w:lvlText w:val="o"/>
      <w:lvlJc w:val="left"/>
      <w:pPr>
        <w:ind w:left="55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D629C8">
      <w:start w:val="1"/>
      <w:numFmt w:val="bullet"/>
      <w:lvlText w:val="▪"/>
      <w:lvlJc w:val="left"/>
      <w:pPr>
        <w:ind w:left="63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2E27168"/>
    <w:multiLevelType w:val="hybridMultilevel"/>
    <w:tmpl w:val="00C8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847712"/>
    <w:multiLevelType w:val="multilevel"/>
    <w:tmpl w:val="79264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05319A"/>
    <w:multiLevelType w:val="hybridMultilevel"/>
    <w:tmpl w:val="55249984"/>
    <w:lvl w:ilvl="0" w:tplc="EC18F41A">
      <w:start w:val="1"/>
      <w:numFmt w:val="bullet"/>
      <w:lvlText w:val="•"/>
      <w:lvlJc w:val="left"/>
      <w:pPr>
        <w:ind w:left="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140208">
      <w:start w:val="1"/>
      <w:numFmt w:val="bullet"/>
      <w:lvlText w:val="o"/>
      <w:lvlJc w:val="left"/>
      <w:pPr>
        <w:ind w:left="1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46F87C">
      <w:start w:val="1"/>
      <w:numFmt w:val="bullet"/>
      <w:lvlText w:val="▪"/>
      <w:lvlJc w:val="left"/>
      <w:pPr>
        <w:ind w:left="19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AC6E50">
      <w:start w:val="1"/>
      <w:numFmt w:val="bullet"/>
      <w:lvlText w:val="•"/>
      <w:lvlJc w:val="left"/>
      <w:pPr>
        <w:ind w:left="2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0CF8B4">
      <w:start w:val="1"/>
      <w:numFmt w:val="bullet"/>
      <w:lvlText w:val="o"/>
      <w:lvlJc w:val="left"/>
      <w:pPr>
        <w:ind w:left="34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B3E85F6">
      <w:start w:val="1"/>
      <w:numFmt w:val="bullet"/>
      <w:lvlText w:val="▪"/>
      <w:lvlJc w:val="left"/>
      <w:pPr>
        <w:ind w:left="41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8609E26">
      <w:start w:val="1"/>
      <w:numFmt w:val="bullet"/>
      <w:lvlText w:val="•"/>
      <w:lvlJc w:val="left"/>
      <w:pPr>
        <w:ind w:left="48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1C9766">
      <w:start w:val="1"/>
      <w:numFmt w:val="bullet"/>
      <w:lvlText w:val="o"/>
      <w:lvlJc w:val="left"/>
      <w:pPr>
        <w:ind w:left="55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148444">
      <w:start w:val="1"/>
      <w:numFmt w:val="bullet"/>
      <w:lvlText w:val="▪"/>
      <w:lvlJc w:val="left"/>
      <w:pPr>
        <w:ind w:left="63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B3C57B7"/>
    <w:multiLevelType w:val="hybridMultilevel"/>
    <w:tmpl w:val="8A7E8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0539DC"/>
    <w:multiLevelType w:val="hybridMultilevel"/>
    <w:tmpl w:val="C96A9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05900CD"/>
    <w:multiLevelType w:val="hybridMultilevel"/>
    <w:tmpl w:val="4EFEDEE4"/>
    <w:lvl w:ilvl="0" w:tplc="40DA74BE">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892751E"/>
    <w:multiLevelType w:val="hybridMultilevel"/>
    <w:tmpl w:val="BE4A9276"/>
    <w:lvl w:ilvl="0" w:tplc="1F94E4CC">
      <w:start w:val="1"/>
      <w:numFmt w:val="bullet"/>
      <w:lvlText w:val="•"/>
      <w:lvlJc w:val="left"/>
      <w:pPr>
        <w:ind w:left="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C49EAC">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C6226E">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6A9AFA">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0C6B46">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10AD80">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90D916">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929442">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98AF1A">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BDB7ED4"/>
    <w:multiLevelType w:val="hybridMultilevel"/>
    <w:tmpl w:val="10B69CA0"/>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DF47808"/>
    <w:multiLevelType w:val="hybridMultilevel"/>
    <w:tmpl w:val="4A4222DC"/>
    <w:lvl w:ilvl="0" w:tplc="001698F4">
      <w:start w:val="2"/>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0F1F79"/>
    <w:multiLevelType w:val="hybridMultilevel"/>
    <w:tmpl w:val="4956B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B47E93"/>
    <w:multiLevelType w:val="hybridMultilevel"/>
    <w:tmpl w:val="32AC8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3B5B47"/>
    <w:multiLevelType w:val="hybridMultilevel"/>
    <w:tmpl w:val="C7467784"/>
    <w:lvl w:ilvl="0" w:tplc="04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00189359">
    <w:abstractNumId w:val="3"/>
  </w:num>
  <w:num w:numId="2" w16cid:durableId="44183708">
    <w:abstractNumId w:val="0"/>
  </w:num>
  <w:num w:numId="3" w16cid:durableId="1089424191">
    <w:abstractNumId w:val="4"/>
  </w:num>
  <w:num w:numId="4" w16cid:durableId="1153106796">
    <w:abstractNumId w:val="17"/>
  </w:num>
  <w:num w:numId="5" w16cid:durableId="733088274">
    <w:abstractNumId w:val="8"/>
  </w:num>
  <w:num w:numId="6" w16cid:durableId="1832402561">
    <w:abstractNumId w:val="13"/>
  </w:num>
  <w:num w:numId="7" w16cid:durableId="753236287">
    <w:abstractNumId w:val="10"/>
  </w:num>
  <w:num w:numId="8" w16cid:durableId="1416777332">
    <w:abstractNumId w:val="19"/>
  </w:num>
  <w:num w:numId="9" w16cid:durableId="451751112">
    <w:abstractNumId w:val="6"/>
  </w:num>
  <w:num w:numId="10" w16cid:durableId="370301367">
    <w:abstractNumId w:val="2"/>
  </w:num>
  <w:num w:numId="11" w16cid:durableId="1887981939">
    <w:abstractNumId w:val="21"/>
  </w:num>
  <w:num w:numId="12" w16cid:durableId="1670057535">
    <w:abstractNumId w:val="16"/>
  </w:num>
  <w:num w:numId="13" w16cid:durableId="740953">
    <w:abstractNumId w:val="5"/>
  </w:num>
  <w:num w:numId="14" w16cid:durableId="1864901009">
    <w:abstractNumId w:val="22"/>
  </w:num>
  <w:num w:numId="15" w16cid:durableId="1315256099">
    <w:abstractNumId w:val="18"/>
  </w:num>
  <w:num w:numId="16" w16cid:durableId="975570647">
    <w:abstractNumId w:val="7"/>
  </w:num>
  <w:num w:numId="17" w16cid:durableId="69011838">
    <w:abstractNumId w:val="11"/>
  </w:num>
  <w:num w:numId="18" w16cid:durableId="123471929">
    <w:abstractNumId w:val="15"/>
  </w:num>
  <w:num w:numId="19" w16cid:durableId="1071997872">
    <w:abstractNumId w:val="1"/>
  </w:num>
  <w:num w:numId="20" w16cid:durableId="1084227899">
    <w:abstractNumId w:val="20"/>
  </w:num>
  <w:num w:numId="21" w16cid:durableId="1702439575">
    <w:abstractNumId w:val="12"/>
  </w:num>
  <w:num w:numId="22" w16cid:durableId="956064455">
    <w:abstractNumId w:val="9"/>
  </w:num>
  <w:num w:numId="23" w16cid:durableId="9298918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B68"/>
    <w:rsid w:val="00016B25"/>
    <w:rsid w:val="00023987"/>
    <w:rsid w:val="00032B8A"/>
    <w:rsid w:val="00071EE5"/>
    <w:rsid w:val="000A255E"/>
    <w:rsid w:val="000C0481"/>
    <w:rsid w:val="000C3D64"/>
    <w:rsid w:val="000E1DDA"/>
    <w:rsid w:val="000F1C10"/>
    <w:rsid w:val="000F4ECB"/>
    <w:rsid w:val="00105E9B"/>
    <w:rsid w:val="00106103"/>
    <w:rsid w:val="00130ADC"/>
    <w:rsid w:val="00156903"/>
    <w:rsid w:val="00167A9F"/>
    <w:rsid w:val="0019055E"/>
    <w:rsid w:val="001A6026"/>
    <w:rsid w:val="001A6BF2"/>
    <w:rsid w:val="001B108B"/>
    <w:rsid w:val="001D4956"/>
    <w:rsid w:val="001D6C50"/>
    <w:rsid w:val="001E2A7A"/>
    <w:rsid w:val="001E72A0"/>
    <w:rsid w:val="00201692"/>
    <w:rsid w:val="00201EF6"/>
    <w:rsid w:val="002072F4"/>
    <w:rsid w:val="002138F9"/>
    <w:rsid w:val="00221A24"/>
    <w:rsid w:val="0023313B"/>
    <w:rsid w:val="00262F2A"/>
    <w:rsid w:val="00287ECF"/>
    <w:rsid w:val="002911EB"/>
    <w:rsid w:val="002F4A6A"/>
    <w:rsid w:val="002F7079"/>
    <w:rsid w:val="00303F4C"/>
    <w:rsid w:val="0032112B"/>
    <w:rsid w:val="003353AE"/>
    <w:rsid w:val="00371C03"/>
    <w:rsid w:val="00381951"/>
    <w:rsid w:val="003B2E2D"/>
    <w:rsid w:val="003E17E9"/>
    <w:rsid w:val="003E6ECD"/>
    <w:rsid w:val="003E7CA4"/>
    <w:rsid w:val="004024AE"/>
    <w:rsid w:val="00410E89"/>
    <w:rsid w:val="00434B3A"/>
    <w:rsid w:val="00435F1C"/>
    <w:rsid w:val="00470AA0"/>
    <w:rsid w:val="00471DD9"/>
    <w:rsid w:val="0048107C"/>
    <w:rsid w:val="004966CF"/>
    <w:rsid w:val="004B312A"/>
    <w:rsid w:val="004B54DB"/>
    <w:rsid w:val="004D1FEA"/>
    <w:rsid w:val="00500F43"/>
    <w:rsid w:val="00542037"/>
    <w:rsid w:val="00545167"/>
    <w:rsid w:val="00546463"/>
    <w:rsid w:val="00555CBA"/>
    <w:rsid w:val="0059632C"/>
    <w:rsid w:val="00597166"/>
    <w:rsid w:val="005E3048"/>
    <w:rsid w:val="00606E8B"/>
    <w:rsid w:val="00614597"/>
    <w:rsid w:val="00633CE1"/>
    <w:rsid w:val="006431C0"/>
    <w:rsid w:val="0064331D"/>
    <w:rsid w:val="00643C20"/>
    <w:rsid w:val="006579BE"/>
    <w:rsid w:val="00660B99"/>
    <w:rsid w:val="006F6309"/>
    <w:rsid w:val="007069B2"/>
    <w:rsid w:val="00717AB6"/>
    <w:rsid w:val="00724AE6"/>
    <w:rsid w:val="00725099"/>
    <w:rsid w:val="00763509"/>
    <w:rsid w:val="007708B1"/>
    <w:rsid w:val="007E2828"/>
    <w:rsid w:val="007F3A15"/>
    <w:rsid w:val="00821A11"/>
    <w:rsid w:val="00825BEF"/>
    <w:rsid w:val="0085219F"/>
    <w:rsid w:val="00860361"/>
    <w:rsid w:val="00890A5F"/>
    <w:rsid w:val="008D1F8C"/>
    <w:rsid w:val="008F0F73"/>
    <w:rsid w:val="008F6A86"/>
    <w:rsid w:val="00940879"/>
    <w:rsid w:val="009665D3"/>
    <w:rsid w:val="00977C08"/>
    <w:rsid w:val="0098410C"/>
    <w:rsid w:val="00996FD7"/>
    <w:rsid w:val="00997338"/>
    <w:rsid w:val="009A7A7E"/>
    <w:rsid w:val="009B4E65"/>
    <w:rsid w:val="009E27F8"/>
    <w:rsid w:val="009E7DA2"/>
    <w:rsid w:val="00A16CCE"/>
    <w:rsid w:val="00A376F5"/>
    <w:rsid w:val="00A5366F"/>
    <w:rsid w:val="00A6742B"/>
    <w:rsid w:val="00A740F4"/>
    <w:rsid w:val="00A81D12"/>
    <w:rsid w:val="00A84B91"/>
    <w:rsid w:val="00A9139C"/>
    <w:rsid w:val="00AA3945"/>
    <w:rsid w:val="00AB0743"/>
    <w:rsid w:val="00AB789C"/>
    <w:rsid w:val="00AC698E"/>
    <w:rsid w:val="00AD0A71"/>
    <w:rsid w:val="00AE17CE"/>
    <w:rsid w:val="00AF3085"/>
    <w:rsid w:val="00B06E54"/>
    <w:rsid w:val="00B13470"/>
    <w:rsid w:val="00B1559B"/>
    <w:rsid w:val="00B1762E"/>
    <w:rsid w:val="00B36508"/>
    <w:rsid w:val="00B40FF0"/>
    <w:rsid w:val="00B64B0B"/>
    <w:rsid w:val="00B67EBD"/>
    <w:rsid w:val="00B83D16"/>
    <w:rsid w:val="00BA053E"/>
    <w:rsid w:val="00BB5D16"/>
    <w:rsid w:val="00BB709B"/>
    <w:rsid w:val="00BB796A"/>
    <w:rsid w:val="00BD5714"/>
    <w:rsid w:val="00BE2B03"/>
    <w:rsid w:val="00C32FED"/>
    <w:rsid w:val="00C373A3"/>
    <w:rsid w:val="00C4363A"/>
    <w:rsid w:val="00C71858"/>
    <w:rsid w:val="00C806C0"/>
    <w:rsid w:val="00CC6C13"/>
    <w:rsid w:val="00CD1AB7"/>
    <w:rsid w:val="00D129A7"/>
    <w:rsid w:val="00D14A89"/>
    <w:rsid w:val="00D25208"/>
    <w:rsid w:val="00D37AAD"/>
    <w:rsid w:val="00D41644"/>
    <w:rsid w:val="00D92300"/>
    <w:rsid w:val="00DA0B68"/>
    <w:rsid w:val="00DA37E2"/>
    <w:rsid w:val="00DC7AD1"/>
    <w:rsid w:val="00DE3ADA"/>
    <w:rsid w:val="00E06E62"/>
    <w:rsid w:val="00E314D8"/>
    <w:rsid w:val="00E371F5"/>
    <w:rsid w:val="00E6061D"/>
    <w:rsid w:val="00E615F7"/>
    <w:rsid w:val="00E85795"/>
    <w:rsid w:val="00EA72E8"/>
    <w:rsid w:val="00EC1366"/>
    <w:rsid w:val="00EE792F"/>
    <w:rsid w:val="00EF5285"/>
    <w:rsid w:val="00F031E6"/>
    <w:rsid w:val="00F04367"/>
    <w:rsid w:val="00F252DA"/>
    <w:rsid w:val="00F535C5"/>
    <w:rsid w:val="00F62049"/>
    <w:rsid w:val="00F67DC7"/>
    <w:rsid w:val="00F7100B"/>
    <w:rsid w:val="00F7746F"/>
    <w:rsid w:val="00F77E61"/>
    <w:rsid w:val="00F961E8"/>
    <w:rsid w:val="00FB0FF8"/>
    <w:rsid w:val="00FB2769"/>
    <w:rsid w:val="00FB6C5C"/>
    <w:rsid w:val="00FB70B3"/>
    <w:rsid w:val="00FE2B66"/>
    <w:rsid w:val="00FE4C4F"/>
    <w:rsid w:val="00FF5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25849"/>
  <w15:docId w15:val="{D6815C87-AF2E-4313-B3F6-35297B970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 w:line="271" w:lineRule="auto"/>
      <w:ind w:left="48" w:hanging="10"/>
    </w:pPr>
    <w:rPr>
      <w:rFonts w:ascii="Arial" w:eastAsia="Arial" w:hAnsi="Arial" w:cs="Arial"/>
      <w:color w:val="000000"/>
      <w:sz w:val="22"/>
    </w:rPr>
  </w:style>
  <w:style w:type="paragraph" w:styleId="Heading1">
    <w:name w:val="heading 1"/>
    <w:next w:val="Normal"/>
    <w:link w:val="Heading1Char"/>
    <w:uiPriority w:val="9"/>
    <w:qFormat/>
    <w:pPr>
      <w:keepNext/>
      <w:keepLines/>
      <w:spacing w:after="21" w:line="259" w:lineRule="auto"/>
      <w:ind w:left="48" w:hanging="10"/>
      <w:outlineLvl w:val="0"/>
    </w:pPr>
    <w:rPr>
      <w:rFonts w:ascii="Arial" w:eastAsia="Arial" w:hAnsi="Arial" w:cs="Arial"/>
      <w:b/>
      <w:color w:val="72246C"/>
      <w:sz w:val="28"/>
    </w:rPr>
  </w:style>
  <w:style w:type="paragraph" w:styleId="Heading2">
    <w:name w:val="heading 2"/>
    <w:next w:val="Normal"/>
    <w:link w:val="Heading2Char"/>
    <w:uiPriority w:val="9"/>
    <w:unhideWhenUsed/>
    <w:qFormat/>
    <w:pPr>
      <w:keepNext/>
      <w:keepLines/>
      <w:spacing w:after="0" w:line="259" w:lineRule="auto"/>
      <w:ind w:left="418" w:hanging="10"/>
      <w:outlineLvl w:val="1"/>
    </w:pPr>
    <w:rPr>
      <w:rFonts w:ascii="Arial" w:eastAsia="Arial" w:hAnsi="Arial" w:cs="Arial"/>
      <w:i/>
      <w:color w:val="72246C"/>
      <w:sz w:val="22"/>
    </w:rPr>
  </w:style>
  <w:style w:type="paragraph" w:styleId="Heading3">
    <w:name w:val="heading 3"/>
    <w:next w:val="Normal"/>
    <w:link w:val="Heading3Char"/>
    <w:uiPriority w:val="9"/>
    <w:unhideWhenUsed/>
    <w:qFormat/>
    <w:pPr>
      <w:keepNext/>
      <w:keepLines/>
      <w:spacing w:after="0" w:line="259" w:lineRule="auto"/>
      <w:ind w:left="418" w:hanging="10"/>
      <w:outlineLvl w:val="2"/>
    </w:pPr>
    <w:rPr>
      <w:rFonts w:ascii="Arial" w:eastAsia="Arial" w:hAnsi="Arial" w:cs="Arial"/>
      <w:i/>
      <w:color w:val="72246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72246C"/>
      <w:sz w:val="28"/>
    </w:rPr>
  </w:style>
  <w:style w:type="character" w:customStyle="1" w:styleId="Heading2Char">
    <w:name w:val="Heading 2 Char"/>
    <w:link w:val="Heading2"/>
    <w:uiPriority w:val="9"/>
    <w:rPr>
      <w:rFonts w:ascii="Arial" w:eastAsia="Arial" w:hAnsi="Arial" w:cs="Arial"/>
      <w:i/>
      <w:color w:val="72246C"/>
      <w:sz w:val="22"/>
    </w:rPr>
  </w:style>
  <w:style w:type="character" w:customStyle="1" w:styleId="Heading3Char">
    <w:name w:val="Heading 3 Char"/>
    <w:link w:val="Heading3"/>
    <w:rPr>
      <w:rFonts w:ascii="Arial" w:eastAsia="Arial" w:hAnsi="Arial" w:cs="Arial"/>
      <w:i/>
      <w:color w:val="72246C"/>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911EB"/>
    <w:pPr>
      <w:spacing w:after="0" w:line="240" w:lineRule="auto"/>
      <w:ind w:left="720" w:firstLine="0"/>
      <w:contextualSpacing/>
      <w:jc w:val="both"/>
    </w:pPr>
    <w:rPr>
      <w:rFonts w:ascii="Gadugi" w:eastAsiaTheme="minorHAnsi" w:hAnsi="Gadugi" w:cstheme="minorBidi"/>
      <w:color w:val="auto"/>
      <w:kern w:val="0"/>
      <w:sz w:val="20"/>
      <w:szCs w:val="20"/>
      <w14:ligatures w14:val="none"/>
    </w:rPr>
  </w:style>
  <w:style w:type="paragraph" w:customStyle="1" w:styleId="Default">
    <w:name w:val="Default"/>
    <w:rsid w:val="00F252DA"/>
    <w:pPr>
      <w:autoSpaceDE w:val="0"/>
      <w:autoSpaceDN w:val="0"/>
      <w:adjustRightInd w:val="0"/>
      <w:spacing w:after="0" w:line="240" w:lineRule="auto"/>
    </w:pPr>
    <w:rPr>
      <w:rFonts w:ascii="Arial" w:eastAsiaTheme="minorHAnsi" w:hAnsi="Arial" w:cs="Arial"/>
      <w:color w:val="000000"/>
      <w:kern w:val="0"/>
    </w:rPr>
  </w:style>
  <w:style w:type="paragraph" w:styleId="FootnoteText">
    <w:name w:val="footnote text"/>
    <w:basedOn w:val="Normal"/>
    <w:link w:val="FootnoteTextChar"/>
    <w:uiPriority w:val="99"/>
    <w:unhideWhenUsed/>
    <w:rsid w:val="00F252DA"/>
    <w:pPr>
      <w:spacing w:after="0" w:line="240" w:lineRule="auto"/>
      <w:ind w:left="0" w:firstLine="0"/>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rsid w:val="00F252DA"/>
    <w:rPr>
      <w:rFonts w:eastAsiaTheme="minorHAnsi"/>
      <w:sz w:val="20"/>
      <w:szCs w:val="20"/>
    </w:rPr>
  </w:style>
  <w:style w:type="character" w:styleId="FootnoteReference">
    <w:name w:val="footnote reference"/>
    <w:basedOn w:val="DefaultParagraphFont"/>
    <w:uiPriority w:val="99"/>
    <w:semiHidden/>
    <w:unhideWhenUsed/>
    <w:rsid w:val="00F252DA"/>
    <w:rPr>
      <w:vertAlign w:val="superscript"/>
    </w:rPr>
  </w:style>
  <w:style w:type="paragraph" w:customStyle="1" w:styleId="paragraph">
    <w:name w:val="paragraph"/>
    <w:basedOn w:val="Normal"/>
    <w:rsid w:val="00F252DA"/>
    <w:pP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character" w:customStyle="1" w:styleId="normaltextrun">
    <w:name w:val="normaltextrun"/>
    <w:basedOn w:val="DefaultParagraphFont"/>
    <w:rsid w:val="00F252DA"/>
  </w:style>
  <w:style w:type="character" w:customStyle="1" w:styleId="eop">
    <w:name w:val="eop"/>
    <w:basedOn w:val="DefaultParagraphFont"/>
    <w:rsid w:val="00F252DA"/>
  </w:style>
  <w:style w:type="character" w:styleId="Hyperlink">
    <w:name w:val="Hyperlink"/>
    <w:basedOn w:val="DefaultParagraphFont"/>
    <w:uiPriority w:val="99"/>
    <w:unhideWhenUsed/>
    <w:rsid w:val="00597166"/>
    <w:rPr>
      <w:color w:val="467886" w:themeColor="hyperlink"/>
      <w:u w:val="single"/>
    </w:rPr>
  </w:style>
  <w:style w:type="character" w:styleId="UnresolvedMention">
    <w:name w:val="Unresolved Mention"/>
    <w:basedOn w:val="DefaultParagraphFont"/>
    <w:uiPriority w:val="99"/>
    <w:semiHidden/>
    <w:unhideWhenUsed/>
    <w:rsid w:val="00597166"/>
    <w:rPr>
      <w:color w:val="605E5C"/>
      <w:shd w:val="clear" w:color="auto" w:fill="E1DFDD"/>
    </w:rPr>
  </w:style>
  <w:style w:type="character" w:styleId="CommentReference">
    <w:name w:val="annotation reference"/>
    <w:basedOn w:val="DefaultParagraphFont"/>
    <w:uiPriority w:val="99"/>
    <w:semiHidden/>
    <w:unhideWhenUsed/>
    <w:rsid w:val="00F7746F"/>
    <w:rPr>
      <w:sz w:val="16"/>
      <w:szCs w:val="16"/>
    </w:rPr>
  </w:style>
  <w:style w:type="paragraph" w:styleId="CommentText">
    <w:name w:val="annotation text"/>
    <w:basedOn w:val="Normal"/>
    <w:link w:val="CommentTextChar"/>
    <w:uiPriority w:val="99"/>
    <w:unhideWhenUsed/>
    <w:rsid w:val="00F7746F"/>
    <w:pPr>
      <w:spacing w:after="0" w:line="240" w:lineRule="auto"/>
      <w:ind w:left="0" w:firstLine="0"/>
      <w:jc w:val="both"/>
    </w:pPr>
    <w:rPr>
      <w:rFonts w:ascii="Gadugi" w:eastAsiaTheme="minorHAnsi" w:hAnsi="Gadugi" w:cstheme="minorBidi"/>
      <w:color w:val="auto"/>
      <w:kern w:val="0"/>
      <w:sz w:val="20"/>
      <w:szCs w:val="20"/>
      <w14:ligatures w14:val="none"/>
    </w:rPr>
  </w:style>
  <w:style w:type="character" w:customStyle="1" w:styleId="CommentTextChar">
    <w:name w:val="Comment Text Char"/>
    <w:basedOn w:val="DefaultParagraphFont"/>
    <w:link w:val="CommentText"/>
    <w:uiPriority w:val="99"/>
    <w:rsid w:val="00F7746F"/>
    <w:rPr>
      <w:rFonts w:ascii="Gadugi" w:eastAsiaTheme="minorHAnsi" w:hAnsi="Gadugi"/>
      <w:kern w:val="0"/>
      <w:sz w:val="20"/>
      <w:szCs w:val="20"/>
      <w14:ligatures w14:val="none"/>
    </w:rPr>
  </w:style>
  <w:style w:type="paragraph" w:styleId="Header">
    <w:name w:val="header"/>
    <w:basedOn w:val="Normal"/>
    <w:link w:val="HeaderChar"/>
    <w:uiPriority w:val="99"/>
    <w:unhideWhenUsed/>
    <w:rsid w:val="00435F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F1C"/>
    <w:rPr>
      <w:rFonts w:ascii="Arial" w:eastAsia="Arial" w:hAnsi="Arial" w:cs="Arial"/>
      <w:color w:val="000000"/>
      <w:sz w:val="22"/>
    </w:rPr>
  </w:style>
  <w:style w:type="paragraph" w:styleId="Footer">
    <w:name w:val="footer"/>
    <w:basedOn w:val="Normal"/>
    <w:link w:val="FooterChar"/>
    <w:uiPriority w:val="99"/>
    <w:unhideWhenUsed/>
    <w:rsid w:val="00435F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F1C"/>
    <w:rPr>
      <w:rFonts w:ascii="Arial" w:eastAsia="Arial" w:hAnsi="Arial" w:cs="Arial"/>
      <w:color w:val="000000"/>
      <w:sz w:val="22"/>
    </w:rPr>
  </w:style>
  <w:style w:type="paragraph" w:styleId="NoSpacing">
    <w:name w:val="No Spacing"/>
    <w:uiPriority w:val="1"/>
    <w:qFormat/>
    <w:rsid w:val="0064331D"/>
    <w:pPr>
      <w:widowControl w:val="0"/>
      <w:spacing w:after="0" w:line="240" w:lineRule="auto"/>
    </w:pPr>
    <w:rPr>
      <w:rFonts w:ascii="Times New Roman" w:eastAsia="Times New Roman" w:hAnsi="Times New Roman" w:cs="Times New Roman"/>
      <w:kern w:val="0"/>
      <w:szCs w:val="20"/>
      <w14:ligatures w14:val="none"/>
    </w:rPr>
  </w:style>
  <w:style w:type="paragraph" w:styleId="NormalWeb">
    <w:name w:val="Normal (Web)"/>
    <w:basedOn w:val="Normal"/>
    <w:uiPriority w:val="99"/>
    <w:unhideWhenUsed/>
    <w:rsid w:val="003353AE"/>
    <w:pPr>
      <w:spacing w:before="100" w:beforeAutospacing="1" w:after="100" w:afterAutospacing="1" w:line="240" w:lineRule="auto"/>
      <w:ind w:left="0" w:firstLine="0"/>
    </w:pPr>
    <w:rPr>
      <w:rFonts w:ascii="Calibri" w:eastAsiaTheme="minorHAnsi" w:hAnsi="Calibri" w:cs="Calibri"/>
      <w:color w:val="auto"/>
      <w:kern w:val="0"/>
      <w:szCs w:val="22"/>
      <w14:ligatures w14:val="none"/>
    </w:rPr>
  </w:style>
  <w:style w:type="paragraph" w:styleId="Revision">
    <w:name w:val="Revision"/>
    <w:hidden/>
    <w:uiPriority w:val="99"/>
    <w:semiHidden/>
    <w:rsid w:val="00B1559B"/>
    <w:pPr>
      <w:spacing w:after="0" w:line="240" w:lineRule="auto"/>
    </w:pPr>
    <w:rPr>
      <w:rFonts w:ascii="Arial" w:eastAsia="Arial" w:hAnsi="Arial" w:cs="Arial"/>
      <w:color w:val="000000"/>
      <w:sz w:val="22"/>
    </w:rPr>
  </w:style>
  <w:style w:type="paragraph" w:styleId="CommentSubject">
    <w:name w:val="annotation subject"/>
    <w:basedOn w:val="CommentText"/>
    <w:next w:val="CommentText"/>
    <w:link w:val="CommentSubjectChar"/>
    <w:uiPriority w:val="99"/>
    <w:semiHidden/>
    <w:unhideWhenUsed/>
    <w:rsid w:val="00D25208"/>
    <w:pPr>
      <w:spacing w:after="16"/>
      <w:ind w:left="48" w:hanging="10"/>
      <w:jc w:val="left"/>
    </w:pPr>
    <w:rPr>
      <w:rFonts w:ascii="Arial" w:eastAsia="Arial" w:hAnsi="Arial" w:cs="Arial"/>
      <w:b/>
      <w:bCs/>
      <w:color w:val="000000"/>
      <w:kern w:val="2"/>
      <w14:ligatures w14:val="standardContextual"/>
    </w:rPr>
  </w:style>
  <w:style w:type="character" w:customStyle="1" w:styleId="CommentSubjectChar">
    <w:name w:val="Comment Subject Char"/>
    <w:basedOn w:val="CommentTextChar"/>
    <w:link w:val="CommentSubject"/>
    <w:uiPriority w:val="99"/>
    <w:semiHidden/>
    <w:rsid w:val="00D25208"/>
    <w:rPr>
      <w:rFonts w:ascii="Arial" w:eastAsia="Arial" w:hAnsi="Arial" w:cs="Arial"/>
      <w:b/>
      <w:bCs/>
      <w:color w:val="000000"/>
      <w:kern w:val="0"/>
      <w:sz w:val="20"/>
      <w:szCs w:val="20"/>
      <w14:ligatures w14:val="none"/>
    </w:rPr>
  </w:style>
  <w:style w:type="character" w:styleId="FollowedHyperlink">
    <w:name w:val="FollowedHyperlink"/>
    <w:basedOn w:val="DefaultParagraphFont"/>
    <w:uiPriority w:val="99"/>
    <w:semiHidden/>
    <w:unhideWhenUsed/>
    <w:rsid w:val="008D1F8C"/>
    <w:rPr>
      <w:color w:val="467886" w:themeColor="followedHyperlink"/>
      <w:u w:val="single"/>
    </w:rPr>
  </w:style>
  <w:style w:type="character" w:customStyle="1" w:styleId="ui-provider">
    <w:name w:val="ui-provider"/>
    <w:basedOn w:val="DefaultParagraphFont"/>
    <w:rsid w:val="00657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aicpa-cima.com/resources/landing/statements-on-standards-for-tax-services" TargetMode="External"/><Relationship Id="rId18" Type="http://schemas.openxmlformats.org/officeDocument/2006/relationships/image" Target="media/image6.png"/><Relationship Id="rId26" Type="http://schemas.openxmlformats.org/officeDocument/2006/relationships/hyperlink" Target="https://us.aicpa.org/interestareas/governmentalauditquality/resources/archived-web-events.html" TargetMode="External"/><Relationship Id="rId39" Type="http://schemas.openxmlformats.org/officeDocument/2006/relationships/hyperlink" Target="https://www.aicpa-cima.com/resources/download/free-practice-aid-set-up-your-a-and-a-quality-management-system" TargetMode="External"/><Relationship Id="rId21" Type="http://schemas.openxmlformats.org/officeDocument/2006/relationships/image" Target="media/image7.jpeg"/><Relationship Id="rId34" Type="http://schemas.openxmlformats.org/officeDocument/2006/relationships/hyperlink" Target="https://oig.hhs.gov/documents/compliance/1150/quality-control-review-deficiencies.pdf?utm_medium=email&amp;utm_source=SFMC_RAVE&amp;utm_campaign=GAQC23&amp;utm_content=693626&amp;AdditionalEmailAttribute2=AICPA&amp;AdditionalEmailAttribute3=GAQC_Email_SEP23&amp;AdditionalEmailAttribute4=SEP23_GAQC&amp;AdditionalEmailAttribute5=" TargetMode="External"/><Relationship Id="rId42" Type="http://schemas.openxmlformats.org/officeDocument/2006/relationships/hyperlink" Target="https://www.aicpa-cima.com/resources/download/sqms-1-2-sas-146-executive-summary" TargetMode="External"/><Relationship Id="rId47" Type="http://schemas.openxmlformats.org/officeDocument/2006/relationships/hyperlink" Target="http://www.aicpa-cima.com/peecmeetinginfo" TargetMode="External"/><Relationship Id="rId50" Type="http://schemas.openxmlformats.org/officeDocument/2006/relationships/hyperlink" Target="http://www.aicpa.org/ethics" TargetMode="External"/><Relationship Id="rId55" Type="http://schemas.openxmlformats.org/officeDocument/2006/relationships/hyperlink" Target="http://www.aicpa.org/fileacomplaint"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aicpa-cima.com/category/resources/government" TargetMode="External"/><Relationship Id="rId11" Type="http://schemas.openxmlformats.org/officeDocument/2006/relationships/hyperlink" Target="https://us.aicpa.org/content/dam/aicpa/interestareas/peerreview/newsandpublications/downloadabledocuments/reviewer-alert-202212.pdf" TargetMode="External"/><Relationship Id="rId24" Type="http://schemas.openxmlformats.org/officeDocument/2006/relationships/hyperlink" Target="https://www.aicpa-cima.com/resources/download/gaqc-archived-covid-19-resources" TargetMode="External"/><Relationship Id="rId32" Type="http://schemas.openxmlformats.org/officeDocument/2006/relationships/hyperlink" Target="https://oig.hhs.gov/compliance/single-audits/hhs-oig-oversight-activities/?utm_medium=email&amp;utm_source=SFMC_RAVE&amp;utm_campaign=GAQC23&amp;utm_content=693626&amp;AdditionalEmailAttribute2=AICPA&amp;AdditionalEmailAttribute3=GAQC_Email_SEP23&amp;AdditionalEmailAttribute4=SEP23_GAQC&amp;AdditionalEmailAttribute5=" TargetMode="External"/><Relationship Id="rId37" Type="http://schemas.openxmlformats.org/officeDocument/2006/relationships/hyperlink" Target="mailto:yellowbook@gao.gov" TargetMode="External"/><Relationship Id="rId40" Type="http://schemas.openxmlformats.org/officeDocument/2006/relationships/hyperlink" Target="https://www.aicpa-cima.com/resources/download/firm-checklist-to-guide-your-quality-management-system" TargetMode="External"/><Relationship Id="rId45" Type="http://schemas.openxmlformats.org/officeDocument/2006/relationships/hyperlink" Target="https://www.aicpa-cima.com/resources/landing/aafocus" TargetMode="External"/><Relationship Id="rId53" Type="http://schemas.openxmlformats.org/officeDocument/2006/relationships/hyperlink" Target="http://www.aicpa.org/peecmeeting" TargetMode="External"/><Relationship Id="rId58" Type="http://schemas.openxmlformats.org/officeDocument/2006/relationships/hyperlink" Target="mailto:becomeareviewer@aicpa.org"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www.gao.gov/yellowbook" TargetMode="External"/><Relationship Id="rId14" Type="http://schemas.openxmlformats.org/officeDocument/2006/relationships/image" Target="media/image3.png"/><Relationship Id="rId22" Type="http://schemas.openxmlformats.org/officeDocument/2006/relationships/hyperlink" Target="https://www.aicpa-cima.com/cpe-learning/publication/government-auditing-standards-and-single-audits-audit-guide-OPL" TargetMode="External"/><Relationship Id="rId27" Type="http://schemas.openxmlformats.org/officeDocument/2006/relationships/hyperlink" Target="https://www.aicpa-cima.com/category/resources/government?subtopic=single-audit" TargetMode="External"/><Relationship Id="rId30" Type="http://schemas.openxmlformats.org/officeDocument/2006/relationships/hyperlink" Target="https://oig.hhs.gov/compliance/single-audits/?utm_medium=email&amp;utm_source=SFMC_RAVE&amp;utm_campaign=GAQC23&amp;utm_content=693626&amp;AdditionalEmailAttribute2=AICPA&amp;AdditionalEmailAttribute3=GAQC_Email_SEP23&amp;AdditionalEmailAttribute4=SEP23_GAQC&amp;AdditionalEmailAttribute5=" TargetMode="External"/><Relationship Id="rId35" Type="http://schemas.openxmlformats.org/officeDocument/2006/relationships/hyperlink" Target="https://oig.hhs.gov/compliance/single-audits/compliance-tools-and-resources/?utm_medium=email&amp;utm_source=SFMC_RAVE&amp;utm_campaign=GAQC23&amp;utm_content=693626&amp;AdditionalEmailAttribute2=AICPA&amp;AdditionalEmailAttribute3=GAQC_Email_SEP23&amp;AdditionalEmailAttribute4=SEP23_GAQC&amp;AdditionalEmailAttribute5=" TargetMode="External"/><Relationship Id="rId43" Type="http://schemas.openxmlformats.org/officeDocument/2006/relationships/hyperlink" Target="https://www.journalofaccountancy.com/topics/auditing/quality-management.html" TargetMode="External"/><Relationship Id="rId48" Type="http://schemas.openxmlformats.org/officeDocument/2006/relationships/hyperlink" Target="http://aicpa.org" TargetMode="External"/><Relationship Id="rId56" Type="http://schemas.openxmlformats.org/officeDocument/2006/relationships/hyperlink" Target="mailto:PEECCoordinator@aicpa.org?subject=I%20need%20help%20finding%20ethics%20content" TargetMode="External"/><Relationship Id="rId8" Type="http://schemas.openxmlformats.org/officeDocument/2006/relationships/image" Target="media/image1.png"/><Relationship Id="rId51" Type="http://schemas.openxmlformats.org/officeDocument/2006/relationships/hyperlink" Target="http://www.aicpa.org/ethicslibrary" TargetMode="External"/><Relationship Id="rId3" Type="http://schemas.openxmlformats.org/officeDocument/2006/relationships/styles" Target="styles.xml"/><Relationship Id="rId12" Type="http://schemas.openxmlformats.org/officeDocument/2006/relationships/hyperlink" Target="https://www.aicpa-cima.com/resources/article/common-financial-statement-errors-for-new-standards" TargetMode="External"/><Relationship Id="rId17" Type="http://schemas.openxmlformats.org/officeDocument/2006/relationships/hyperlink" Target="http://www.aicpa.org/digitalassets" TargetMode="External"/><Relationship Id="rId25" Type="http://schemas.openxmlformats.org/officeDocument/2006/relationships/hyperlink" Target="https://www.aicpa-cima.com/resources/landing/gaqc-alert-archive-library?utm_medium=email&amp;utm_source=SFMC_RAVE&amp;utm_campaign=GAQC23&amp;utm_content=659943&amp;AdditionalEmailAttribute2=AICPA&amp;AdditionalEmailAttribute3=GAQC_Email_SEP23&amp;AdditionalEmailAttribute4=SEP23_GAQC&amp;AdditionalEmailAttribute5=" TargetMode="External"/><Relationship Id="rId33" Type="http://schemas.openxmlformats.org/officeDocument/2006/relationships/hyperlink" Target="https://oig.hhs.gov/documents/compliance/1149/desk-review-deficiencies.pdf?utm_medium=email&amp;utm_source=SFMC_RAVE&amp;utm_campaign=GAQC23&amp;utm_content=693626&amp;AdditionalEmailAttribute2=AICPA&amp;AdditionalEmailAttribute3=GAQC_Email_SEP23&amp;AdditionalEmailAttribute4=SEP23_GAQC&amp;AdditionalEmailAttribute5=" TargetMode="External"/><Relationship Id="rId38" Type="http://schemas.openxmlformats.org/officeDocument/2006/relationships/image" Target="media/image9.png"/><Relationship Id="rId46" Type="http://schemas.openxmlformats.org/officeDocument/2006/relationships/image" Target="media/image11.png"/><Relationship Id="rId59" Type="http://schemas.openxmlformats.org/officeDocument/2006/relationships/hyperlink" Target="https://peerreview.aicpa.org/reviewer_search.html" TargetMode="External"/><Relationship Id="rId20" Type="http://schemas.openxmlformats.org/officeDocument/2006/relationships/hyperlink" Target="https://www.aicpa-cima.com/category/resources/government?subtopic=yellow-book" TargetMode="External"/><Relationship Id="rId41" Type="http://schemas.openxmlformats.org/officeDocument/2006/relationships/hyperlink" Target="https://www.aicpa-cima.com/resources/download/crosswalk-sqms-1-sqcs-8" TargetMode="External"/><Relationship Id="rId54" Type="http://schemas.openxmlformats.org/officeDocument/2006/relationships/hyperlink" Target="http://www.aicpa.org/jeepmanua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svg"/><Relationship Id="rId23" Type="http://schemas.openxmlformats.org/officeDocument/2006/relationships/hyperlink" Target="https://www.aicpa-cima.com/resources/article/omb-compliance-supplement-resource-center-2023" TargetMode="External"/><Relationship Id="rId28" Type="http://schemas.openxmlformats.org/officeDocument/2006/relationships/hyperlink" Target="https://www.aicpa.org/resources/article/governmental-illustrative-auditors-reports" TargetMode="External"/><Relationship Id="rId36" Type="http://schemas.openxmlformats.org/officeDocument/2006/relationships/hyperlink" Target="https://oig.hhs.gov/compliance/single-audits/frequently-asked-questions-faqs/?utm_medium=email&amp;utm_source=SFMC_RAVE&amp;utm_campaign=GAQC23&amp;utm_content=693626&amp;AdditionalEmailAttribute2=AICPA&amp;AdditionalEmailAttribute3=GAQC_Email_SEP23&amp;AdditionalEmailAttribute4=SEP23_GAQC&amp;AdditionalEmailAttribute5=" TargetMode="External"/><Relationship Id="rId49" Type="http://schemas.openxmlformats.org/officeDocument/2006/relationships/hyperlink" Target="http://www.aicpa-cima.com" TargetMode="External"/><Relationship Id="rId57" Type="http://schemas.openxmlformats.org/officeDocument/2006/relationships/hyperlink" Target="https://us.aicpa.org/interestareas/peerreview/community/how-to-become-a-peer-reviewer.html" TargetMode="External"/><Relationship Id="rId10" Type="http://schemas.openxmlformats.org/officeDocument/2006/relationships/hyperlink" Target="https://us.aicpa.org/content/dam/aicpa/interestareas/peerreview/newsandpublications/downloadabledocuments/reviewer-alert-202212.pdf" TargetMode="External"/><Relationship Id="rId31" Type="http://schemas.openxmlformats.org/officeDocument/2006/relationships/image" Target="media/image8.jpg"/><Relationship Id="rId44" Type="http://schemas.openxmlformats.org/officeDocument/2006/relationships/image" Target="media/image10.png"/><Relationship Id="rId52" Type="http://schemas.openxmlformats.org/officeDocument/2006/relationships/hyperlink" Target="http://www.aicpa.org/peecprojects"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www.federalregister.gov/documents/2024/04/22/2024-07496/guidance-for-federal-financial-assistance?utm_medium=email&amp;utm_source=SFMC_RAVE&amp;utm_campaign=A22SEP21&amp;utm_content=713802&amp;AdditionalEmailAttribute2=AICPA&amp;AdditionalEmailAttribute3=SEP22&amp;AdditionalEmailAttribute4=NFPAlert&amp;AdditionalEmailAttribute5=" TargetMode="External"/><Relationship Id="rId3" Type="http://schemas.openxmlformats.org/officeDocument/2006/relationships/hyperlink" Target="http://pub.aicpa.org/codeofconduct/resourceseamlesslogin.aspx?prod=ethics&amp;tdoc=et-cod&amp;tptr=et-cod1.220.010" TargetMode="External"/><Relationship Id="rId7" Type="http://schemas.openxmlformats.org/officeDocument/2006/relationships/hyperlink" Target="http://pub.aicpa.org/codeofconduct/resourceseamlesslogin.aspx?prod=ethics&amp;tdoc=et-cod&amp;tptr=et-cod1.210.010" TargetMode="External"/><Relationship Id="rId2" Type="http://schemas.openxmlformats.org/officeDocument/2006/relationships/hyperlink" Target="http://pub.aicpa.org/codeofconduct/resourceseamlesslogin.aspx?prod=ethics&amp;tdoc=et-cod&amp;tptr=et-cod1.810.010" TargetMode="External"/><Relationship Id="rId1" Type="http://schemas.openxmlformats.org/officeDocument/2006/relationships/hyperlink" Target="http://pub.aicpa.org/codeofconduct/resourceseamlesslogin.aspx?prod=ethics&amp;tdoc=et-cod&amp;tptr=et-cod1.295.145" TargetMode="External"/><Relationship Id="rId6" Type="http://schemas.openxmlformats.org/officeDocument/2006/relationships/hyperlink" Target="http://pub.aicpa.org/codeofconduct/resourceseamlesslogin.aspx?prod=ethics&amp;tdoc=et-cod&amp;tptr=et-cod1.810.010" TargetMode="External"/><Relationship Id="rId5" Type="http://schemas.openxmlformats.org/officeDocument/2006/relationships/hyperlink" Target="http://pub.aicpa.org/codeofconduct/resourceseamlesslogin.aspx?prod=ethics&amp;tdoc=et-cod&amp;tptr=et-cod1.220.020" TargetMode="External"/><Relationship Id="rId4" Type="http://schemas.openxmlformats.org/officeDocument/2006/relationships/hyperlink" Target="https://pub.aicpa.org/codeofconduct/ethics.aspx?targetdoc=et-cod&amp;targetptr=UUID-842b07e3-2b89-4afa-009a-434da51fdf55_et-cod_def_covered_member" TargetMode="External"/></Relationships>
</file>

<file path=word/theme/theme1.xml><?xml version="1.0" encoding="utf-8"?>
<a:theme xmlns:a="http://schemas.openxmlformats.org/drawingml/2006/main" name="Office Theme">
  <a:themeElements>
    <a:clrScheme name="Custom 106">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46788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5060F-731A-47DA-8F5F-0897001D5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8</Pages>
  <Words>4495</Words>
  <Characters>25627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Rios</dc:creator>
  <cp:keywords/>
  <cp:lastModifiedBy>Toya Ebron</cp:lastModifiedBy>
  <cp:revision>10</cp:revision>
  <dcterms:created xsi:type="dcterms:W3CDTF">2024-05-20T17:50:00Z</dcterms:created>
  <dcterms:modified xsi:type="dcterms:W3CDTF">2024-05-24T20:31:00Z</dcterms:modified>
</cp:coreProperties>
</file>