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4515E" w14:textId="478D37ED" w:rsidR="00896CC8" w:rsidRDefault="00D2071C" w:rsidP="00D2071C">
      <w:pPr>
        <w:jc w:val="center"/>
        <w:rPr>
          <w:rFonts w:ascii="Arial" w:hAnsi="Arial" w:cs="Arial"/>
          <w:b/>
          <w:bCs/>
          <w:noProof/>
          <w:color w:val="FF0000"/>
          <w:sz w:val="36"/>
          <w:szCs w:val="36"/>
        </w:rPr>
      </w:pPr>
      <w:bookmarkStart w:id="0" w:name="_Hlk87612065"/>
      <w:bookmarkEnd w:id="0"/>
      <w:r w:rsidRPr="00D2071C">
        <w:rPr>
          <w:rFonts w:ascii="Arial" w:hAnsi="Arial" w:cs="Arial"/>
          <w:b/>
          <w:bCs/>
          <w:noProof/>
          <w:color w:val="FF0000"/>
          <w:sz w:val="36"/>
          <w:szCs w:val="36"/>
        </w:rPr>
        <w:t>INSERT YOUR FIRM’S LOGO/BRANDING HERE</w:t>
      </w:r>
    </w:p>
    <w:p w14:paraId="11E0D6B2" w14:textId="28B404E7" w:rsidR="00CD7E97" w:rsidRDefault="00CD7E97" w:rsidP="008E0DEC">
      <w:pPr>
        <w:pStyle w:val="NoSpacing"/>
        <w:rPr>
          <w:rFonts w:ascii="Arial" w:hAnsi="Arial" w:cs="Arial"/>
          <w:b/>
          <w:bCs/>
          <w:iCs/>
          <w:color w:val="005BBB"/>
          <w:sz w:val="2"/>
          <w:szCs w:val="2"/>
        </w:rPr>
      </w:pPr>
    </w:p>
    <w:p w14:paraId="1D2CDAFA" w14:textId="5CD9601E" w:rsidR="00AE0435" w:rsidRDefault="00AE0435" w:rsidP="008E0DEC">
      <w:pPr>
        <w:pStyle w:val="NoSpacing"/>
        <w:rPr>
          <w:rFonts w:ascii="Arial" w:hAnsi="Arial" w:cs="Arial"/>
          <w:b/>
          <w:bCs/>
          <w:iCs/>
          <w:color w:val="005BBB"/>
          <w:sz w:val="2"/>
          <w:szCs w:val="2"/>
        </w:rPr>
      </w:pPr>
    </w:p>
    <w:p w14:paraId="1A493AB0" w14:textId="065D38F9" w:rsidR="00AE0435" w:rsidRDefault="00AE0435" w:rsidP="008E0DEC">
      <w:pPr>
        <w:pStyle w:val="NoSpacing"/>
        <w:rPr>
          <w:rFonts w:ascii="Arial" w:hAnsi="Arial" w:cs="Arial"/>
          <w:b/>
          <w:bCs/>
          <w:iCs/>
          <w:color w:val="005BBB"/>
          <w:sz w:val="2"/>
          <w:szCs w:val="2"/>
        </w:rPr>
      </w:pPr>
    </w:p>
    <w:p w14:paraId="415F636D" w14:textId="03762491" w:rsidR="00AE0435" w:rsidRDefault="00AE0435" w:rsidP="008E0DEC">
      <w:pPr>
        <w:pStyle w:val="NoSpacing"/>
        <w:rPr>
          <w:rFonts w:ascii="Arial" w:hAnsi="Arial" w:cs="Arial"/>
          <w:b/>
          <w:bCs/>
          <w:iCs/>
          <w:color w:val="005BBB"/>
          <w:sz w:val="2"/>
          <w:szCs w:val="2"/>
        </w:rPr>
      </w:pPr>
    </w:p>
    <w:p w14:paraId="66658B97" w14:textId="60A9138B" w:rsidR="00AE0435" w:rsidRDefault="00AE0435" w:rsidP="008E0DEC">
      <w:pPr>
        <w:pStyle w:val="NoSpacing"/>
        <w:rPr>
          <w:rFonts w:ascii="Arial" w:hAnsi="Arial" w:cs="Arial"/>
          <w:b/>
          <w:bCs/>
          <w:iCs/>
          <w:color w:val="005BBB"/>
          <w:sz w:val="2"/>
          <w:szCs w:val="2"/>
        </w:rPr>
      </w:pPr>
    </w:p>
    <w:p w14:paraId="515FA6B8" w14:textId="77777777" w:rsidR="00AE0435" w:rsidRPr="00AE0435" w:rsidRDefault="00AE0435" w:rsidP="008E0DEC">
      <w:pPr>
        <w:pStyle w:val="NoSpacing"/>
        <w:rPr>
          <w:rFonts w:ascii="Arial" w:hAnsi="Arial" w:cs="Arial"/>
          <w:b/>
          <w:bCs/>
          <w:iCs/>
          <w:color w:val="005BBB"/>
          <w:sz w:val="2"/>
          <w:szCs w:val="2"/>
        </w:rPr>
      </w:pPr>
    </w:p>
    <w:p w14:paraId="68E766A9" w14:textId="204C10C5" w:rsidR="00BF25FA" w:rsidRDefault="00BF25FA" w:rsidP="008E0DEC">
      <w:pPr>
        <w:pStyle w:val="NoSpacing"/>
        <w:rPr>
          <w:rFonts w:ascii="Arial" w:hAnsi="Arial" w:cs="Arial"/>
          <w:b/>
          <w:bCs/>
          <w:iCs/>
          <w:color w:val="005BBB"/>
          <w:szCs w:val="24"/>
        </w:rPr>
      </w:pPr>
      <w:r>
        <w:rPr>
          <w:rFonts w:ascii="Arial" w:hAnsi="Arial" w:cs="Arial"/>
          <w:b/>
          <w:bCs/>
          <w:iCs/>
          <w:noProof/>
          <w:color w:val="005BBB"/>
          <w:szCs w:val="24"/>
        </w:rPr>
        <mc:AlternateContent>
          <mc:Choice Requires="wps">
            <w:drawing>
              <wp:anchor distT="0" distB="0" distL="114300" distR="114300" simplePos="0" relativeHeight="251659264" behindDoc="0" locked="0" layoutInCell="1" allowOverlap="1" wp14:anchorId="212C1C73" wp14:editId="0A26120C">
                <wp:simplePos x="0" y="0"/>
                <wp:positionH relativeFrom="column">
                  <wp:posOffset>13855</wp:posOffset>
                </wp:positionH>
                <wp:positionV relativeFrom="paragraph">
                  <wp:posOffset>8775</wp:posOffset>
                </wp:positionV>
                <wp:extent cx="6795654" cy="325581"/>
                <wp:effectExtent l="0" t="0" r="24765" b="17780"/>
                <wp:wrapNone/>
                <wp:docPr id="1" name="Rectangle 1"/>
                <wp:cNvGraphicFramePr/>
                <a:graphic xmlns:a="http://schemas.openxmlformats.org/drawingml/2006/main">
                  <a:graphicData uri="http://schemas.microsoft.com/office/word/2010/wordprocessingShape">
                    <wps:wsp>
                      <wps:cNvSpPr/>
                      <wps:spPr>
                        <a:xfrm>
                          <a:off x="0" y="0"/>
                          <a:ext cx="6795654" cy="325581"/>
                        </a:xfrm>
                        <a:prstGeom prst="rect">
                          <a:avLst/>
                        </a:prstGeom>
                        <a:solidFill>
                          <a:srgbClr val="005BB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E3BBB8" w14:textId="202C4BFA" w:rsidR="008368B5" w:rsidRPr="008368B5" w:rsidRDefault="008368B5" w:rsidP="008368B5">
                            <w:pPr>
                              <w:rPr>
                                <w:rFonts w:ascii="Arial" w:hAnsi="Arial" w:cs="Arial"/>
                                <w:b/>
                                <w:bCs/>
                                <w:sz w:val="32"/>
                                <w:szCs w:val="32"/>
                              </w:rPr>
                            </w:pPr>
                            <w:r w:rsidRPr="008368B5">
                              <w:rPr>
                                <w:rFonts w:ascii="Arial" w:hAnsi="Arial" w:cs="Arial"/>
                                <w:b/>
                                <w:bCs/>
                                <w:sz w:val="32"/>
                                <w:szCs w:val="32"/>
                              </w:rPr>
                              <w:t>Peer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C1C73" id="Rectangle 1" o:spid="_x0000_s1026" style="position:absolute;margin-left:1.1pt;margin-top:.7pt;width:535.1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" fillcolor="#005bbb" strokecolor="#0d395d [1604]" strokeweight="1pt">
                <v:textbox>
                  <w:txbxContent>
                    <w:p w14:paraId="7EE3BBB8" w14:textId="202C4BFA" w:rsidR="008368B5" w:rsidRPr="008368B5" w:rsidRDefault="008368B5" w:rsidP="008368B5">
                      <w:pPr>
                        <w:rPr>
                          <w:rFonts w:ascii="Arial" w:hAnsi="Arial" w:cs="Arial"/>
                          <w:b/>
                          <w:bCs/>
                          <w:sz w:val="32"/>
                          <w:szCs w:val="32"/>
                        </w:rPr>
                      </w:pPr>
                      <w:r w:rsidRPr="008368B5">
                        <w:rPr>
                          <w:rFonts w:ascii="Arial" w:hAnsi="Arial" w:cs="Arial"/>
                          <w:b/>
                          <w:bCs/>
                          <w:sz w:val="32"/>
                          <w:szCs w:val="32"/>
                        </w:rPr>
                        <w:t>Peer Review</w:t>
                      </w:r>
                    </w:p>
                  </w:txbxContent>
                </v:textbox>
              </v:rect>
            </w:pict>
          </mc:Fallback>
        </mc:AlternateContent>
      </w:r>
    </w:p>
    <w:p w14:paraId="723A4BF9" w14:textId="77777777" w:rsidR="00BF25FA" w:rsidRDefault="00BF25FA" w:rsidP="008E0DEC">
      <w:pPr>
        <w:pStyle w:val="NoSpacing"/>
        <w:rPr>
          <w:rFonts w:ascii="Arial" w:hAnsi="Arial" w:cs="Arial"/>
          <w:b/>
          <w:bCs/>
          <w:iCs/>
          <w:color w:val="005BBB"/>
          <w:szCs w:val="24"/>
        </w:rPr>
      </w:pPr>
    </w:p>
    <w:p w14:paraId="5BB30343" w14:textId="77777777" w:rsidR="008368B5" w:rsidRDefault="008368B5" w:rsidP="008E0DEC">
      <w:pPr>
        <w:pStyle w:val="NoSpacing"/>
        <w:rPr>
          <w:rFonts w:ascii="Arial" w:hAnsi="Arial" w:cs="Arial"/>
          <w:b/>
          <w:bCs/>
          <w:iCs/>
          <w:color w:val="005BBB"/>
          <w:szCs w:val="24"/>
        </w:rPr>
      </w:pPr>
    </w:p>
    <w:p w14:paraId="26F7E702" w14:textId="656EE8B8" w:rsidR="00BD0DB2" w:rsidRDefault="00BD0DB2" w:rsidP="008E0DEC">
      <w:pPr>
        <w:pStyle w:val="NoSpacing"/>
        <w:rPr>
          <w:rFonts w:ascii="Arial" w:hAnsi="Arial" w:cs="Arial"/>
          <w:b/>
          <w:bCs/>
          <w:iCs/>
          <w:color w:val="005BBB"/>
          <w:szCs w:val="24"/>
        </w:rPr>
      </w:pPr>
      <w:r w:rsidRPr="00E95655">
        <w:rPr>
          <w:rFonts w:ascii="Arial" w:hAnsi="Arial" w:cs="Arial"/>
          <w:b/>
          <w:bCs/>
          <w:iCs/>
          <w:color w:val="005BBB"/>
          <w:szCs w:val="24"/>
        </w:rPr>
        <w:t xml:space="preserve">Peer Review </w:t>
      </w:r>
      <w:r w:rsidR="007F7B0E" w:rsidRPr="00E95655">
        <w:rPr>
          <w:rFonts w:ascii="Arial" w:hAnsi="Arial" w:cs="Arial"/>
          <w:b/>
          <w:bCs/>
          <w:iCs/>
          <w:color w:val="005BBB"/>
          <w:szCs w:val="24"/>
        </w:rPr>
        <w:t>e</w:t>
      </w:r>
      <w:r w:rsidRPr="00E95655">
        <w:rPr>
          <w:rFonts w:ascii="Arial" w:hAnsi="Arial" w:cs="Arial"/>
          <w:b/>
          <w:bCs/>
          <w:iCs/>
          <w:color w:val="005BBB"/>
          <w:szCs w:val="24"/>
        </w:rPr>
        <w:t>xtension – Reminder!</w:t>
      </w:r>
    </w:p>
    <w:p w14:paraId="6AE2D559" w14:textId="77777777" w:rsidR="00D15BA1" w:rsidRPr="00D15BA1" w:rsidRDefault="00D15BA1" w:rsidP="008E0DEC">
      <w:pPr>
        <w:pStyle w:val="NoSpacing"/>
        <w:rPr>
          <w:rFonts w:ascii="Arial" w:hAnsi="Arial" w:cs="Arial"/>
          <w:b/>
          <w:bCs/>
          <w:iCs/>
          <w:color w:val="005BBB"/>
          <w:szCs w:val="24"/>
        </w:rPr>
      </w:pPr>
    </w:p>
    <w:p w14:paraId="1A1FBF59" w14:textId="1B1FB6DD" w:rsidR="000C5A92" w:rsidRPr="000C5A92" w:rsidRDefault="000C5A92" w:rsidP="000C5A92">
      <w:pPr>
        <w:widowControl/>
        <w:autoSpaceDE/>
        <w:autoSpaceDN/>
        <w:adjustRightInd/>
        <w:spacing w:after="0"/>
        <w:rPr>
          <w:rFonts w:ascii="Arial" w:eastAsia="Calibri" w:hAnsi="Arial" w:cs="Arial"/>
        </w:rPr>
      </w:pPr>
      <w:r w:rsidRPr="000C5A92">
        <w:rPr>
          <w:rFonts w:ascii="Arial" w:eastAsia="Calibri" w:hAnsi="Arial" w:cs="Arial"/>
        </w:rPr>
        <w:t>The AICPA Peer Review Board (PRB)</w:t>
      </w:r>
      <w:r w:rsidR="006F747A">
        <w:rPr>
          <w:rFonts w:ascii="Arial" w:eastAsia="Calibri" w:hAnsi="Arial" w:cs="Arial"/>
        </w:rPr>
        <w:t xml:space="preserve"> continues to</w:t>
      </w:r>
      <w:r w:rsidRPr="000C5A92">
        <w:rPr>
          <w:rFonts w:ascii="Arial" w:eastAsia="Calibri" w:hAnsi="Arial" w:cs="Arial"/>
        </w:rPr>
        <w:t xml:space="preserve"> take the </w:t>
      </w:r>
      <w:r w:rsidR="00C51D5B">
        <w:rPr>
          <w:rFonts w:ascii="Arial" w:eastAsia="Calibri" w:hAnsi="Arial" w:cs="Arial"/>
        </w:rPr>
        <w:t xml:space="preserve">COVID-19 </w:t>
      </w:r>
      <w:r w:rsidRPr="000C5A92">
        <w:rPr>
          <w:rFonts w:ascii="Arial" w:eastAsia="Calibri" w:hAnsi="Arial" w:cs="Arial"/>
        </w:rPr>
        <w:t>pandemic very seriously and recognized the impact the pandemic h</w:t>
      </w:r>
      <w:r w:rsidR="006F747A">
        <w:rPr>
          <w:rFonts w:ascii="Arial" w:eastAsia="Calibri" w:hAnsi="Arial" w:cs="Arial"/>
        </w:rPr>
        <w:t>ad</w:t>
      </w:r>
      <w:r w:rsidRPr="000C5A92">
        <w:rPr>
          <w:rFonts w:ascii="Arial" w:eastAsia="Calibri" w:hAnsi="Arial" w:cs="Arial"/>
        </w:rPr>
        <w:t xml:space="preserve"> on firms when determining if </w:t>
      </w:r>
      <w:r w:rsidR="006F747A">
        <w:rPr>
          <w:rFonts w:ascii="Arial" w:eastAsia="Calibri" w:hAnsi="Arial" w:cs="Arial"/>
        </w:rPr>
        <w:t>their</w:t>
      </w:r>
      <w:r w:rsidR="006F747A" w:rsidRPr="000C5A92">
        <w:rPr>
          <w:rFonts w:ascii="Arial" w:eastAsia="Calibri" w:hAnsi="Arial" w:cs="Arial"/>
        </w:rPr>
        <w:t xml:space="preserve"> </w:t>
      </w:r>
      <w:r w:rsidRPr="000C5A92">
        <w:rPr>
          <w:rFonts w:ascii="Arial" w:eastAsia="Calibri" w:hAnsi="Arial" w:cs="Arial"/>
        </w:rPr>
        <w:t>peer review</w:t>
      </w:r>
      <w:r w:rsidR="006F747A">
        <w:rPr>
          <w:rFonts w:ascii="Arial" w:eastAsia="Calibri" w:hAnsi="Arial" w:cs="Arial"/>
        </w:rPr>
        <w:t>s</w:t>
      </w:r>
      <w:r w:rsidRPr="000C5A92">
        <w:rPr>
          <w:rFonts w:ascii="Arial" w:eastAsia="Calibri" w:hAnsi="Arial" w:cs="Arial"/>
        </w:rPr>
        <w:t xml:space="preserve"> </w:t>
      </w:r>
      <w:r w:rsidR="006F747A">
        <w:rPr>
          <w:rFonts w:ascii="Arial" w:eastAsia="Calibri" w:hAnsi="Arial" w:cs="Arial"/>
        </w:rPr>
        <w:t>could</w:t>
      </w:r>
      <w:r w:rsidR="006F747A" w:rsidRPr="000C5A92">
        <w:rPr>
          <w:rFonts w:ascii="Arial" w:eastAsia="Calibri" w:hAnsi="Arial" w:cs="Arial"/>
        </w:rPr>
        <w:t xml:space="preserve"> </w:t>
      </w:r>
      <w:r w:rsidRPr="000C5A92">
        <w:rPr>
          <w:rFonts w:ascii="Arial" w:eastAsia="Calibri" w:hAnsi="Arial" w:cs="Arial"/>
        </w:rPr>
        <w:t xml:space="preserve">be performed by its due date. In efforts to assist members, the PRB granted CPA firms with original peer review due dates between January 1, 2020, and September 30, 2020, an automatic six-month extension to provide relief.  </w:t>
      </w:r>
    </w:p>
    <w:p w14:paraId="4EFC853C" w14:textId="77777777" w:rsidR="000C5A92" w:rsidRPr="000C5A92" w:rsidRDefault="000C5A92" w:rsidP="000C5A92">
      <w:pPr>
        <w:widowControl/>
        <w:autoSpaceDE/>
        <w:autoSpaceDN/>
        <w:adjustRightInd/>
        <w:spacing w:after="0"/>
        <w:rPr>
          <w:rFonts w:ascii="Arial" w:eastAsia="Calibri" w:hAnsi="Arial" w:cs="Arial"/>
        </w:rPr>
      </w:pPr>
    </w:p>
    <w:p w14:paraId="489028B6" w14:textId="15BA168C" w:rsidR="000C5A92" w:rsidRPr="000C5A92" w:rsidRDefault="000C5A92" w:rsidP="000C5A92">
      <w:pPr>
        <w:widowControl/>
        <w:autoSpaceDE/>
        <w:autoSpaceDN/>
        <w:adjustRightInd/>
        <w:spacing w:after="0"/>
        <w:rPr>
          <w:rFonts w:ascii="Arial" w:eastAsia="Calibri" w:hAnsi="Arial" w:cs="Arial"/>
        </w:rPr>
      </w:pPr>
      <w:r w:rsidRPr="000C5A92">
        <w:rPr>
          <w:rFonts w:ascii="Arial" w:eastAsia="Calibri" w:hAnsi="Arial" w:cs="Arial"/>
        </w:rPr>
        <w:t xml:space="preserve">For firms that perform engagements under </w:t>
      </w:r>
      <w:r w:rsidR="00DB6B5A">
        <w:rPr>
          <w:rFonts w:ascii="Arial" w:eastAsia="Calibri" w:hAnsi="Arial" w:cs="Arial"/>
        </w:rPr>
        <w:t>g</w:t>
      </w:r>
      <w:r w:rsidRPr="000C5A92">
        <w:rPr>
          <w:rFonts w:ascii="Arial" w:eastAsia="Calibri" w:hAnsi="Arial" w:cs="Arial"/>
        </w:rPr>
        <w:t xml:space="preserve">enerally </w:t>
      </w:r>
      <w:r w:rsidR="00DB6B5A">
        <w:rPr>
          <w:rFonts w:ascii="Arial" w:eastAsia="Calibri" w:hAnsi="Arial" w:cs="Arial"/>
        </w:rPr>
        <w:t>a</w:t>
      </w:r>
      <w:r w:rsidRPr="000C5A92">
        <w:rPr>
          <w:rFonts w:ascii="Arial" w:eastAsia="Calibri" w:hAnsi="Arial" w:cs="Arial"/>
        </w:rPr>
        <w:t xml:space="preserve">ccepted </w:t>
      </w:r>
      <w:r w:rsidR="00DB6B5A">
        <w:rPr>
          <w:rFonts w:ascii="Arial" w:eastAsia="Calibri" w:hAnsi="Arial" w:cs="Arial"/>
        </w:rPr>
        <w:t>g</w:t>
      </w:r>
      <w:r w:rsidRPr="000C5A92">
        <w:rPr>
          <w:rFonts w:ascii="Arial" w:eastAsia="Calibri" w:hAnsi="Arial" w:cs="Arial"/>
        </w:rPr>
        <w:t xml:space="preserve">overnment </w:t>
      </w:r>
      <w:r w:rsidR="00DB6B5A">
        <w:rPr>
          <w:rFonts w:ascii="Arial" w:eastAsia="Calibri" w:hAnsi="Arial" w:cs="Arial"/>
        </w:rPr>
        <w:t>a</w:t>
      </w:r>
      <w:r w:rsidRPr="000C5A92">
        <w:rPr>
          <w:rFonts w:ascii="Arial" w:eastAsia="Calibri" w:hAnsi="Arial" w:cs="Arial"/>
        </w:rPr>
        <w:t xml:space="preserve">uditing </w:t>
      </w:r>
      <w:r w:rsidR="00DB6B5A">
        <w:rPr>
          <w:rFonts w:ascii="Arial" w:eastAsia="Calibri" w:hAnsi="Arial" w:cs="Arial"/>
        </w:rPr>
        <w:t>s</w:t>
      </w:r>
      <w:r w:rsidRPr="000C5A92">
        <w:rPr>
          <w:rFonts w:ascii="Arial" w:eastAsia="Calibri" w:hAnsi="Arial" w:cs="Arial"/>
        </w:rPr>
        <w:t>tandards (GAGAS), the U.S. Government Accountability Office (GAO) indicated that it would not require concurring approval for any pandemic related peer review extensions during the PRB extension. For peer reviews with an original due date after September 30, 2020, you should follow normal GAO guidance as it relates to external peer review extensions. Per GAGAS, “</w:t>
      </w:r>
      <w:r w:rsidR="00E32F51">
        <w:rPr>
          <w:rFonts w:ascii="Arial" w:eastAsia="Calibri" w:hAnsi="Arial" w:cs="Arial"/>
        </w:rPr>
        <w:t>I</w:t>
      </w:r>
      <w:r w:rsidRPr="000C5A92">
        <w:rPr>
          <w:rFonts w:ascii="Arial" w:eastAsia="Calibri" w:hAnsi="Arial" w:cs="Arial"/>
        </w:rPr>
        <w:t>n cases of unusual difficulty or hardship, extensions of the deadlines for submitting peer review reports exceeding 3 months beyond the due date may be granted by the entity that administers the peer review program with the concurrence of GAO.”</w:t>
      </w:r>
    </w:p>
    <w:p w14:paraId="5D76A6C2" w14:textId="77777777" w:rsidR="000C5A92" w:rsidRPr="000C5A92" w:rsidRDefault="000C5A92" w:rsidP="000C5A92">
      <w:pPr>
        <w:widowControl/>
        <w:autoSpaceDE/>
        <w:autoSpaceDN/>
        <w:adjustRightInd/>
        <w:spacing w:after="0"/>
        <w:rPr>
          <w:rFonts w:ascii="Arial" w:eastAsia="Calibri" w:hAnsi="Arial" w:cs="Arial"/>
        </w:rPr>
      </w:pPr>
    </w:p>
    <w:p w14:paraId="2BE835BF" w14:textId="54506818" w:rsidR="000C5A92" w:rsidRPr="000C5A92" w:rsidRDefault="000C5A92" w:rsidP="000C5A92">
      <w:pPr>
        <w:widowControl/>
        <w:autoSpaceDE/>
        <w:autoSpaceDN/>
        <w:adjustRightInd/>
        <w:spacing w:after="0"/>
        <w:rPr>
          <w:rFonts w:ascii="Arial" w:eastAsia="Calibri" w:hAnsi="Arial" w:cs="Arial"/>
        </w:rPr>
      </w:pPr>
      <w:r w:rsidRPr="000C5A92">
        <w:rPr>
          <w:rFonts w:ascii="Arial" w:eastAsia="Calibri" w:hAnsi="Arial" w:cs="Arial"/>
        </w:rPr>
        <w:t>If you</w:t>
      </w:r>
      <w:r w:rsidR="006001F2">
        <w:rPr>
          <w:rFonts w:ascii="Arial" w:eastAsia="Calibri" w:hAnsi="Arial" w:cs="Arial"/>
        </w:rPr>
        <w:t>r</w:t>
      </w:r>
      <w:r w:rsidRPr="000C5A92">
        <w:rPr>
          <w:rFonts w:ascii="Arial" w:eastAsia="Calibri" w:hAnsi="Arial" w:cs="Arial"/>
        </w:rPr>
        <w:t xml:space="preserve"> firm performs GAGAS engagements, please don’t forget to take these requirements into account when requesting an extension!</w:t>
      </w:r>
    </w:p>
    <w:p w14:paraId="0662AEFE" w14:textId="77777777" w:rsidR="000C5A92" w:rsidRPr="000C5A92" w:rsidRDefault="000C5A92" w:rsidP="000C5A92">
      <w:pPr>
        <w:widowControl/>
        <w:autoSpaceDE/>
        <w:autoSpaceDN/>
        <w:adjustRightInd/>
        <w:spacing w:after="0"/>
        <w:rPr>
          <w:rFonts w:ascii="Arial" w:eastAsia="Calibri" w:hAnsi="Arial" w:cs="Arial"/>
        </w:rPr>
      </w:pPr>
    </w:p>
    <w:p w14:paraId="12DFE825" w14:textId="77777777" w:rsidR="000C5A92" w:rsidRPr="000C5A92" w:rsidRDefault="000C5A92" w:rsidP="00E95655">
      <w:pPr>
        <w:widowControl/>
        <w:autoSpaceDE/>
        <w:autoSpaceDN/>
        <w:adjustRightInd/>
        <w:spacing w:after="240"/>
        <w:rPr>
          <w:rFonts w:ascii="Arial" w:eastAsia="Calibri" w:hAnsi="Arial" w:cs="Arial"/>
          <w:shd w:val="clear" w:color="auto" w:fill="FFFFFF"/>
        </w:rPr>
      </w:pPr>
      <w:r w:rsidRPr="000C5A92">
        <w:rPr>
          <w:rFonts w:ascii="Arial" w:eastAsia="Calibri" w:hAnsi="Arial" w:cs="Arial"/>
        </w:rPr>
        <w:t>Refer to t</w:t>
      </w:r>
      <w:r w:rsidRPr="000C5A92">
        <w:rPr>
          <w:rFonts w:ascii="Arial" w:eastAsia="Calibri" w:hAnsi="Arial" w:cs="Arial"/>
          <w:color w:val="111111"/>
          <w:shd w:val="clear" w:color="auto" w:fill="FFFFFF"/>
        </w:rPr>
        <w:t>he AICPA Peer Review Program </w:t>
      </w:r>
      <w:hyperlink r:id="rId11" w:history="1">
        <w:r w:rsidRPr="00D15BA1">
          <w:rPr>
            <w:rFonts w:ascii="Arial" w:eastAsia="Calibri" w:hAnsi="Arial" w:cs="Arial"/>
            <w:color w:val="2E72FF" w:themeColor="text2" w:themeTint="80"/>
            <w:u w:val="single"/>
            <w:shd w:val="clear" w:color="auto" w:fill="FFFFFF"/>
          </w:rPr>
          <w:t>website</w:t>
        </w:r>
      </w:hyperlink>
      <w:r w:rsidRPr="00D15BA1">
        <w:rPr>
          <w:rFonts w:ascii="Arial" w:eastAsia="Calibri" w:hAnsi="Arial" w:cs="Arial"/>
          <w:color w:val="2E72FF" w:themeColor="text2" w:themeTint="80"/>
          <w:shd w:val="clear" w:color="auto" w:fill="FFFFFF"/>
        </w:rPr>
        <w:t> </w:t>
      </w:r>
      <w:r w:rsidRPr="000C5A92">
        <w:rPr>
          <w:rFonts w:ascii="Arial" w:eastAsia="Calibri" w:hAnsi="Arial" w:cs="Arial"/>
          <w:color w:val="111111"/>
          <w:shd w:val="clear" w:color="auto" w:fill="FFFFFF"/>
        </w:rPr>
        <w:t>for additional information, including details on the extension.</w:t>
      </w:r>
    </w:p>
    <w:p w14:paraId="040975B9" w14:textId="0FA0912F" w:rsidR="008E48F8" w:rsidRPr="00E95655" w:rsidRDefault="00AA79BE" w:rsidP="001F2F5F">
      <w:pPr>
        <w:pStyle w:val="NoSpacing"/>
        <w:spacing w:after="120"/>
        <w:rPr>
          <w:rFonts w:ascii="Arial" w:hAnsi="Arial" w:cs="Arial"/>
          <w:b/>
          <w:bCs/>
          <w:color w:val="005BBB"/>
          <w:szCs w:val="24"/>
        </w:rPr>
      </w:pPr>
      <w:r w:rsidRPr="00AA79BE">
        <w:rPr>
          <w:rFonts w:ascii="Arial" w:hAnsi="Arial" w:cs="Arial"/>
          <w:b/>
          <w:bCs/>
          <w:color w:val="005BBB"/>
          <w:szCs w:val="24"/>
        </w:rPr>
        <w:t>Revenue recognition: 4 top concerns noted by peer reviewers</w:t>
      </w:r>
    </w:p>
    <w:p w14:paraId="2A51808A" w14:textId="1D60F8BD" w:rsidR="00381165" w:rsidRPr="00381165" w:rsidRDefault="0055261B" w:rsidP="00CD6995">
      <w:pPr>
        <w:pStyle w:val="NoSpacing"/>
        <w:spacing w:after="120"/>
        <w:rPr>
          <w:rFonts w:ascii="Arial" w:hAnsi="Arial" w:cs="Arial"/>
          <w:sz w:val="22"/>
        </w:rPr>
      </w:pPr>
      <w:r w:rsidRPr="00381165">
        <w:rPr>
          <w:rFonts w:ascii="Arial" w:hAnsi="Arial" w:cs="Arial"/>
          <w:sz w:val="22"/>
        </w:rPr>
        <w:t>To learn where challenges exist for entities and their auditors, the AICPA conducted a survey of peer reviewers, asking them to identify the areas where their firm or their peer review clients have experienced challenges in auditing revenue recognition. Over 230 peer reviewers responded to the survey to share what they've seen or experienced relative to the new accounting standard</w:t>
      </w:r>
      <w:r w:rsidR="00CB16EA">
        <w:rPr>
          <w:rFonts w:ascii="Arial" w:hAnsi="Arial" w:cs="Arial"/>
          <w:sz w:val="22"/>
        </w:rPr>
        <w:t xml:space="preserve">, </w:t>
      </w:r>
      <w:r w:rsidR="0034547F" w:rsidRPr="0034547F">
        <w:rPr>
          <w:rFonts w:ascii="Arial" w:hAnsi="Arial" w:cs="Arial"/>
          <w:sz w:val="22"/>
        </w:rPr>
        <w:t>FASB Accounting Standards Codification (ASC) Topic 606, </w:t>
      </w:r>
      <w:r w:rsidR="0034547F" w:rsidRPr="0034547F">
        <w:rPr>
          <w:rFonts w:ascii="Arial" w:hAnsi="Arial" w:cs="Arial"/>
          <w:i/>
          <w:iCs/>
          <w:sz w:val="22"/>
        </w:rPr>
        <w:t>Revenue From Contracts With Customers</w:t>
      </w:r>
      <w:r w:rsidRPr="00381165">
        <w:rPr>
          <w:rFonts w:ascii="Arial" w:hAnsi="Arial" w:cs="Arial"/>
          <w:sz w:val="22"/>
        </w:rPr>
        <w:t>. The biggest Topic 606-related challenges were identified as the following:</w:t>
      </w:r>
    </w:p>
    <w:p w14:paraId="32699B65" w14:textId="13BCFEC3" w:rsidR="0092077D" w:rsidRPr="00381165" w:rsidRDefault="0092077D" w:rsidP="009F64C8">
      <w:pPr>
        <w:pStyle w:val="trt0xe"/>
        <w:numPr>
          <w:ilvl w:val="0"/>
          <w:numId w:val="37"/>
        </w:numPr>
        <w:shd w:val="clear" w:color="auto" w:fill="FFFFFF"/>
        <w:spacing w:before="0" w:beforeAutospacing="0" w:after="0" w:afterAutospacing="0"/>
        <w:rPr>
          <w:rFonts w:ascii="Arial" w:hAnsi="Arial" w:cs="Arial"/>
          <w:color w:val="202124"/>
          <w:sz w:val="22"/>
          <w:szCs w:val="22"/>
        </w:rPr>
      </w:pPr>
      <w:r w:rsidRPr="00381165">
        <w:rPr>
          <w:rFonts w:ascii="Arial" w:hAnsi="Arial" w:cs="Arial"/>
          <w:color w:val="202124"/>
          <w:sz w:val="22"/>
          <w:szCs w:val="22"/>
        </w:rPr>
        <w:t>Assessing associated risks</w:t>
      </w:r>
    </w:p>
    <w:p w14:paraId="187B3295" w14:textId="635000AA" w:rsidR="0092077D" w:rsidRPr="00381165" w:rsidRDefault="0092077D" w:rsidP="009F64C8">
      <w:pPr>
        <w:pStyle w:val="trt0xe"/>
        <w:numPr>
          <w:ilvl w:val="0"/>
          <w:numId w:val="37"/>
        </w:numPr>
        <w:shd w:val="clear" w:color="auto" w:fill="FFFFFF"/>
        <w:spacing w:before="0" w:beforeAutospacing="0" w:after="0" w:afterAutospacing="0"/>
        <w:rPr>
          <w:rFonts w:ascii="Arial" w:hAnsi="Arial" w:cs="Arial"/>
          <w:color w:val="202124"/>
          <w:sz w:val="22"/>
          <w:szCs w:val="22"/>
        </w:rPr>
      </w:pPr>
      <w:r w:rsidRPr="00381165">
        <w:rPr>
          <w:rFonts w:ascii="Arial" w:hAnsi="Arial" w:cs="Arial"/>
          <w:color w:val="202124"/>
          <w:sz w:val="22"/>
          <w:szCs w:val="22"/>
        </w:rPr>
        <w:t>Understanding of contracts</w:t>
      </w:r>
    </w:p>
    <w:p w14:paraId="49503D25" w14:textId="77777777" w:rsidR="0092077D" w:rsidRPr="00381165" w:rsidRDefault="0092077D" w:rsidP="009F64C8">
      <w:pPr>
        <w:pStyle w:val="trt0xe"/>
        <w:numPr>
          <w:ilvl w:val="0"/>
          <w:numId w:val="37"/>
        </w:numPr>
        <w:shd w:val="clear" w:color="auto" w:fill="FFFFFF"/>
        <w:spacing w:before="0" w:beforeAutospacing="0" w:after="0" w:afterAutospacing="0"/>
        <w:rPr>
          <w:rFonts w:ascii="Arial" w:hAnsi="Arial" w:cs="Arial"/>
          <w:color w:val="202124"/>
          <w:sz w:val="22"/>
          <w:szCs w:val="22"/>
        </w:rPr>
      </w:pPr>
      <w:r w:rsidRPr="00381165">
        <w:rPr>
          <w:rFonts w:ascii="Arial" w:hAnsi="Arial" w:cs="Arial"/>
          <w:color w:val="202124"/>
          <w:sz w:val="22"/>
          <w:szCs w:val="22"/>
        </w:rPr>
        <w:t>Did management appropriately apply Topic 606?</w:t>
      </w:r>
    </w:p>
    <w:p w14:paraId="7041C3DE" w14:textId="4F8EA608" w:rsidR="00381165" w:rsidRPr="00BA64C7" w:rsidRDefault="0092077D" w:rsidP="009F64C8">
      <w:pPr>
        <w:pStyle w:val="trt0xe"/>
        <w:numPr>
          <w:ilvl w:val="0"/>
          <w:numId w:val="37"/>
        </w:numPr>
        <w:shd w:val="clear" w:color="auto" w:fill="FFFFFF"/>
        <w:spacing w:before="0" w:beforeAutospacing="0" w:after="0" w:afterAutospacing="0"/>
        <w:rPr>
          <w:rFonts w:ascii="Arial" w:hAnsi="Arial" w:cs="Arial"/>
          <w:color w:val="202124"/>
          <w:sz w:val="22"/>
          <w:szCs w:val="22"/>
        </w:rPr>
      </w:pPr>
      <w:r w:rsidRPr="00381165">
        <w:rPr>
          <w:rFonts w:ascii="Arial" w:hAnsi="Arial" w:cs="Arial"/>
          <w:color w:val="202124"/>
          <w:sz w:val="22"/>
          <w:szCs w:val="22"/>
        </w:rPr>
        <w:t>Evaluating management's process for developing estimate(s)</w:t>
      </w:r>
    </w:p>
    <w:p w14:paraId="5598623A" w14:textId="77777777" w:rsidR="009F64C8" w:rsidRDefault="009F64C8" w:rsidP="00381165">
      <w:pPr>
        <w:pStyle w:val="trt0xe"/>
        <w:shd w:val="clear" w:color="auto" w:fill="FFFFFF"/>
        <w:spacing w:before="0" w:beforeAutospacing="0" w:after="60" w:afterAutospacing="0"/>
        <w:rPr>
          <w:rFonts w:ascii="Arial" w:hAnsi="Arial" w:cs="Arial"/>
          <w:color w:val="202124"/>
          <w:sz w:val="22"/>
          <w:szCs w:val="22"/>
        </w:rPr>
      </w:pPr>
    </w:p>
    <w:p w14:paraId="05265D89" w14:textId="76FFFCF6" w:rsidR="00381165" w:rsidRPr="00381165" w:rsidRDefault="00381165" w:rsidP="00381165">
      <w:pPr>
        <w:pStyle w:val="trt0xe"/>
        <w:shd w:val="clear" w:color="auto" w:fill="FFFFFF"/>
        <w:spacing w:before="0" w:beforeAutospacing="0" w:after="60" w:afterAutospacing="0"/>
        <w:rPr>
          <w:rFonts w:ascii="Arial" w:hAnsi="Arial" w:cs="Arial"/>
          <w:color w:val="202124"/>
          <w:sz w:val="22"/>
          <w:szCs w:val="22"/>
        </w:rPr>
      </w:pPr>
      <w:r>
        <w:rPr>
          <w:rFonts w:ascii="Arial" w:hAnsi="Arial" w:cs="Arial"/>
          <w:color w:val="202124"/>
          <w:sz w:val="22"/>
          <w:szCs w:val="22"/>
        </w:rPr>
        <w:t>Read the full story</w:t>
      </w:r>
      <w:r w:rsidR="003C3A83">
        <w:rPr>
          <w:rFonts w:ascii="Arial" w:hAnsi="Arial" w:cs="Arial"/>
          <w:color w:val="202124"/>
          <w:sz w:val="22"/>
          <w:szCs w:val="22"/>
        </w:rPr>
        <w:t xml:space="preserve"> from the </w:t>
      </w:r>
      <w:hyperlink r:id="rId12" w:history="1">
        <w:r w:rsidR="003C3A83" w:rsidRPr="00D15BA1">
          <w:rPr>
            <w:rStyle w:val="Hyperlink"/>
            <w:rFonts w:ascii="Arial" w:hAnsi="Arial" w:cs="Arial"/>
            <w:i/>
            <w:iCs/>
            <w:color w:val="2E72FF" w:themeColor="text2" w:themeTint="80"/>
            <w:sz w:val="22"/>
            <w:szCs w:val="22"/>
          </w:rPr>
          <w:t>Journal of Accountancy</w:t>
        </w:r>
      </w:hyperlink>
      <w:r w:rsidR="003C3A83">
        <w:rPr>
          <w:rFonts w:ascii="Arial" w:hAnsi="Arial" w:cs="Arial"/>
          <w:color w:val="202124"/>
          <w:sz w:val="22"/>
          <w:szCs w:val="22"/>
        </w:rPr>
        <w:t>.</w:t>
      </w:r>
    </w:p>
    <w:p w14:paraId="2DF76FF4" w14:textId="00E17243" w:rsidR="004214ED" w:rsidRDefault="004214ED" w:rsidP="004214ED">
      <w:pPr>
        <w:pStyle w:val="NoSpacing"/>
        <w:rPr>
          <w:noProof/>
        </w:rPr>
      </w:pPr>
      <w:bookmarkStart w:id="1" w:name="_Hlk71645239"/>
    </w:p>
    <w:p w14:paraId="1FCC089F" w14:textId="5BCCF801" w:rsidR="004214ED" w:rsidRPr="00E95655" w:rsidRDefault="008637E7" w:rsidP="00793AEE">
      <w:pPr>
        <w:widowControl/>
        <w:autoSpaceDE/>
        <w:autoSpaceDN/>
        <w:adjustRightInd/>
        <w:spacing w:after="120"/>
        <w:rPr>
          <w:rFonts w:ascii="Arial" w:eastAsia="Calibri" w:hAnsi="Arial" w:cs="Arial"/>
          <w:b/>
          <w:bCs/>
          <w:color w:val="005BBB"/>
          <w:sz w:val="24"/>
          <w:szCs w:val="24"/>
        </w:rPr>
      </w:pPr>
      <w:r w:rsidRPr="008637E7">
        <w:rPr>
          <w:rFonts w:ascii="Arial" w:eastAsia="Calibri" w:hAnsi="Arial" w:cs="Arial"/>
          <w:b/>
          <w:bCs/>
          <w:color w:val="005BBB"/>
          <w:sz w:val="24"/>
          <w:szCs w:val="24"/>
        </w:rPr>
        <w:t xml:space="preserve">Have </w:t>
      </w:r>
      <w:r w:rsidR="00385C1B" w:rsidRPr="00E95655">
        <w:rPr>
          <w:rFonts w:ascii="Arial" w:eastAsia="Calibri" w:hAnsi="Arial" w:cs="Arial"/>
          <w:b/>
          <w:bCs/>
          <w:color w:val="005BBB"/>
          <w:sz w:val="24"/>
          <w:szCs w:val="24"/>
        </w:rPr>
        <w:t>y</w:t>
      </w:r>
      <w:r w:rsidRPr="008637E7">
        <w:rPr>
          <w:rFonts w:ascii="Arial" w:eastAsia="Calibri" w:hAnsi="Arial" w:cs="Arial"/>
          <w:b/>
          <w:bCs/>
          <w:color w:val="005BBB"/>
          <w:sz w:val="24"/>
          <w:szCs w:val="24"/>
        </w:rPr>
        <w:t xml:space="preserve">ou </w:t>
      </w:r>
      <w:r w:rsidR="00385C1B" w:rsidRPr="00E95655">
        <w:rPr>
          <w:rFonts w:ascii="Arial" w:eastAsia="Calibri" w:hAnsi="Arial" w:cs="Arial"/>
          <w:b/>
          <w:bCs/>
          <w:color w:val="005BBB"/>
          <w:sz w:val="24"/>
          <w:szCs w:val="24"/>
        </w:rPr>
        <w:t>c</w:t>
      </w:r>
      <w:r w:rsidRPr="008637E7">
        <w:rPr>
          <w:rFonts w:ascii="Arial" w:eastAsia="Calibri" w:hAnsi="Arial" w:cs="Arial"/>
          <w:b/>
          <w:bCs/>
          <w:color w:val="005BBB"/>
          <w:sz w:val="24"/>
          <w:szCs w:val="24"/>
        </w:rPr>
        <w:t xml:space="preserve">onsidered </w:t>
      </w:r>
      <w:r w:rsidR="00385C1B" w:rsidRPr="00E95655">
        <w:rPr>
          <w:rFonts w:ascii="Arial" w:eastAsia="Calibri" w:hAnsi="Arial" w:cs="Arial"/>
          <w:b/>
          <w:bCs/>
          <w:color w:val="005BBB"/>
          <w:sz w:val="24"/>
          <w:szCs w:val="24"/>
        </w:rPr>
        <w:t>r</w:t>
      </w:r>
      <w:r w:rsidRPr="008637E7">
        <w:rPr>
          <w:rFonts w:ascii="Arial" w:eastAsia="Calibri" w:hAnsi="Arial" w:cs="Arial"/>
          <w:b/>
          <w:bCs/>
          <w:color w:val="005BBB"/>
          <w:sz w:val="24"/>
          <w:szCs w:val="24"/>
        </w:rPr>
        <w:t xml:space="preserve">eviewer </w:t>
      </w:r>
      <w:r w:rsidR="00385C1B" w:rsidRPr="00E95655">
        <w:rPr>
          <w:rFonts w:ascii="Arial" w:eastAsia="Calibri" w:hAnsi="Arial" w:cs="Arial"/>
          <w:b/>
          <w:bCs/>
          <w:color w:val="005BBB"/>
          <w:sz w:val="24"/>
          <w:szCs w:val="24"/>
        </w:rPr>
        <w:t>i</w:t>
      </w:r>
      <w:r w:rsidRPr="008637E7">
        <w:rPr>
          <w:rFonts w:ascii="Arial" w:eastAsia="Calibri" w:hAnsi="Arial" w:cs="Arial"/>
          <w:b/>
          <w:bCs/>
          <w:color w:val="005BBB"/>
          <w:sz w:val="24"/>
          <w:szCs w:val="24"/>
        </w:rPr>
        <w:t xml:space="preserve">ndependence </w:t>
      </w:r>
      <w:r w:rsidR="00385C1B" w:rsidRPr="00E95655">
        <w:rPr>
          <w:rFonts w:ascii="Arial" w:eastAsia="Calibri" w:hAnsi="Arial" w:cs="Arial"/>
          <w:b/>
          <w:bCs/>
          <w:color w:val="005BBB"/>
          <w:sz w:val="24"/>
          <w:szCs w:val="24"/>
        </w:rPr>
        <w:t>i</w:t>
      </w:r>
      <w:r w:rsidRPr="008637E7">
        <w:rPr>
          <w:rFonts w:ascii="Arial" w:eastAsia="Calibri" w:hAnsi="Arial" w:cs="Arial"/>
          <w:b/>
          <w:bCs/>
          <w:color w:val="005BBB"/>
          <w:sz w:val="24"/>
          <w:szCs w:val="24"/>
        </w:rPr>
        <w:t xml:space="preserve">mplications if </w:t>
      </w:r>
      <w:r w:rsidR="00385C1B" w:rsidRPr="00E95655">
        <w:rPr>
          <w:rFonts w:ascii="Arial" w:eastAsia="Calibri" w:hAnsi="Arial" w:cs="Arial"/>
          <w:b/>
          <w:bCs/>
          <w:color w:val="005BBB"/>
          <w:sz w:val="24"/>
          <w:szCs w:val="24"/>
        </w:rPr>
        <w:t>a</w:t>
      </w:r>
      <w:r w:rsidRPr="008637E7">
        <w:rPr>
          <w:rFonts w:ascii="Arial" w:eastAsia="Calibri" w:hAnsi="Arial" w:cs="Arial"/>
          <w:b/>
          <w:bCs/>
          <w:color w:val="005BBB"/>
          <w:sz w:val="24"/>
          <w:szCs w:val="24"/>
        </w:rPr>
        <w:t xml:space="preserve">dditional </w:t>
      </w:r>
      <w:r w:rsidR="00385C1B" w:rsidRPr="00E95655">
        <w:rPr>
          <w:rFonts w:ascii="Arial" w:eastAsia="Calibri" w:hAnsi="Arial" w:cs="Arial"/>
          <w:b/>
          <w:bCs/>
          <w:color w:val="005BBB"/>
          <w:sz w:val="24"/>
          <w:szCs w:val="24"/>
        </w:rPr>
        <w:t>s</w:t>
      </w:r>
      <w:r w:rsidRPr="008637E7">
        <w:rPr>
          <w:rFonts w:ascii="Arial" w:eastAsia="Calibri" w:hAnsi="Arial" w:cs="Arial"/>
          <w:b/>
          <w:bCs/>
          <w:color w:val="005BBB"/>
          <w:sz w:val="24"/>
          <w:szCs w:val="24"/>
        </w:rPr>
        <w:t xml:space="preserve">ervices </w:t>
      </w:r>
      <w:r w:rsidR="00C51D5B">
        <w:rPr>
          <w:rFonts w:ascii="Arial" w:eastAsia="Calibri" w:hAnsi="Arial" w:cs="Arial"/>
          <w:b/>
          <w:bCs/>
          <w:color w:val="005BBB"/>
          <w:sz w:val="24"/>
          <w:szCs w:val="24"/>
        </w:rPr>
        <w:t xml:space="preserve">are performed </w:t>
      </w:r>
      <w:r w:rsidRPr="008637E7">
        <w:rPr>
          <w:rFonts w:ascii="Arial" w:eastAsia="Calibri" w:hAnsi="Arial" w:cs="Arial"/>
          <w:b/>
          <w:bCs/>
          <w:color w:val="005BBB"/>
          <w:sz w:val="24"/>
          <w:szCs w:val="24"/>
        </w:rPr>
        <w:t xml:space="preserve">for your </w:t>
      </w:r>
      <w:r w:rsidR="00385C1B" w:rsidRPr="00E95655">
        <w:rPr>
          <w:rFonts w:ascii="Arial" w:eastAsia="Calibri" w:hAnsi="Arial" w:cs="Arial"/>
          <w:b/>
          <w:bCs/>
          <w:color w:val="005BBB"/>
          <w:sz w:val="24"/>
          <w:szCs w:val="24"/>
        </w:rPr>
        <w:t>f</w:t>
      </w:r>
      <w:r w:rsidRPr="008637E7">
        <w:rPr>
          <w:rFonts w:ascii="Arial" w:eastAsia="Calibri" w:hAnsi="Arial" w:cs="Arial"/>
          <w:b/>
          <w:bCs/>
          <w:color w:val="005BBB"/>
          <w:sz w:val="24"/>
          <w:szCs w:val="24"/>
        </w:rPr>
        <w:t>irm?</w:t>
      </w:r>
    </w:p>
    <w:p w14:paraId="5E63B113" w14:textId="61532FE1" w:rsidR="008E4CC8" w:rsidRPr="008E4CC8" w:rsidRDefault="008E4CC8" w:rsidP="00793AEE">
      <w:pPr>
        <w:widowControl/>
        <w:autoSpaceDE/>
        <w:autoSpaceDN/>
        <w:adjustRightInd/>
        <w:spacing w:after="120"/>
        <w:rPr>
          <w:rFonts w:ascii="Arial" w:eastAsia="Calibri" w:hAnsi="Arial" w:cs="Arial"/>
        </w:rPr>
      </w:pPr>
      <w:r w:rsidRPr="008E4CC8">
        <w:rPr>
          <w:rFonts w:ascii="Arial" w:eastAsia="Calibri" w:hAnsi="Arial" w:cs="Arial"/>
        </w:rPr>
        <w:t xml:space="preserve">As a condition of acceptance of your firm’s peer review and cooperation with the administering entity and the </w:t>
      </w:r>
      <w:r w:rsidR="006F747A">
        <w:rPr>
          <w:rFonts w:ascii="Arial" w:eastAsia="Calibri" w:hAnsi="Arial" w:cs="Arial"/>
        </w:rPr>
        <w:t>PRB</w:t>
      </w:r>
      <w:r w:rsidRPr="008E4CC8">
        <w:rPr>
          <w:rFonts w:ascii="Arial" w:eastAsia="Calibri" w:hAnsi="Arial" w:cs="Arial"/>
        </w:rPr>
        <w:t>, your firm may be required to have an outside party perform corrective action(s) or implementation plan(s).  Your firm may want a member of your peer review team to perform the service. However, there are circumstances, such as if your firm received an extension due to COVID</w:t>
      </w:r>
      <w:r w:rsidR="00C51D5B">
        <w:rPr>
          <w:rFonts w:ascii="Arial" w:eastAsia="Calibri" w:hAnsi="Arial" w:cs="Arial"/>
        </w:rPr>
        <w:t>-19</w:t>
      </w:r>
      <w:r w:rsidRPr="008E4CC8">
        <w:rPr>
          <w:rFonts w:ascii="Arial" w:eastAsia="Calibri" w:hAnsi="Arial" w:cs="Arial"/>
        </w:rPr>
        <w:t xml:space="preserve"> or other extenuating circumstances that caused delays, where performing the service may impair the person’s independence and ability to perform your firm’s next peer review as captain or team member (or anyone in their firm).  </w:t>
      </w:r>
    </w:p>
    <w:p w14:paraId="318D1061" w14:textId="4AA7A727" w:rsidR="008E4CC8" w:rsidRPr="008E4CC8" w:rsidRDefault="008E4CC8" w:rsidP="00793AEE">
      <w:pPr>
        <w:widowControl/>
        <w:autoSpaceDE/>
        <w:autoSpaceDN/>
        <w:adjustRightInd/>
        <w:spacing w:after="120"/>
        <w:rPr>
          <w:rFonts w:ascii="Arial" w:eastAsia="Calibri" w:hAnsi="Arial" w:cs="Arial"/>
        </w:rPr>
      </w:pPr>
      <w:r w:rsidRPr="008E4CC8">
        <w:rPr>
          <w:rFonts w:ascii="Arial" w:eastAsia="Calibri" w:hAnsi="Arial" w:cs="Arial"/>
        </w:rPr>
        <w:t xml:space="preserve">For example, the person would be considered independent to perform the next peer review if </w:t>
      </w:r>
      <w:r w:rsidR="00C51D5B">
        <w:rPr>
          <w:rFonts w:ascii="Arial" w:eastAsia="Calibri" w:hAnsi="Arial" w:cs="Arial"/>
        </w:rPr>
        <w:t>he or she</w:t>
      </w:r>
      <w:r w:rsidRPr="008E4CC8">
        <w:rPr>
          <w:rFonts w:ascii="Arial" w:eastAsia="Calibri" w:hAnsi="Arial" w:cs="Arial"/>
        </w:rPr>
        <w:t xml:space="preserve"> perform</w:t>
      </w:r>
      <w:r w:rsidR="00C51D5B">
        <w:rPr>
          <w:rFonts w:ascii="Arial" w:eastAsia="Calibri" w:hAnsi="Arial" w:cs="Arial"/>
        </w:rPr>
        <w:t>s</w:t>
      </w:r>
      <w:r w:rsidRPr="008E4CC8">
        <w:rPr>
          <w:rFonts w:ascii="Arial" w:eastAsia="Calibri" w:hAnsi="Arial" w:cs="Arial"/>
        </w:rPr>
        <w:t xml:space="preserve"> the pre-issuance review on an engagement with a period- or year-ending (report date for financial forecasts, projections, and agreed upon procedures) in the year immediately after the peer review year.  However, AICPA Peer Review Standards Interpretation No. 21-4, indicates that the person would not be considered independent (and thus would not be eligible to perform the next peer review) if </w:t>
      </w:r>
      <w:r w:rsidR="00C51D5B">
        <w:rPr>
          <w:rFonts w:ascii="Arial" w:eastAsia="Calibri" w:hAnsi="Arial" w:cs="Arial"/>
        </w:rPr>
        <w:t>he or she</w:t>
      </w:r>
      <w:r w:rsidRPr="008E4CC8">
        <w:rPr>
          <w:rFonts w:ascii="Arial" w:eastAsia="Calibri" w:hAnsi="Arial" w:cs="Arial"/>
        </w:rPr>
        <w:t xml:space="preserve"> perform</w:t>
      </w:r>
      <w:r w:rsidR="00C51D5B">
        <w:rPr>
          <w:rFonts w:ascii="Arial" w:eastAsia="Calibri" w:hAnsi="Arial" w:cs="Arial"/>
        </w:rPr>
        <w:t>s</w:t>
      </w:r>
      <w:r w:rsidRPr="008E4CC8">
        <w:rPr>
          <w:rFonts w:ascii="Arial" w:eastAsia="Calibri" w:hAnsi="Arial" w:cs="Arial"/>
        </w:rPr>
        <w:t xml:space="preserve"> </w:t>
      </w:r>
      <w:r w:rsidRPr="008E4CC8">
        <w:rPr>
          <w:rFonts w:ascii="Arial" w:eastAsia="Calibri" w:hAnsi="Arial" w:cs="Arial"/>
        </w:rPr>
        <w:lastRenderedPageBreak/>
        <w:t>the pre-issuance review on an engagement with a year-ending in the year immediately before or during your firm’s next peer review year. An important factor to consider is the year-end of the engagement, not necessarily when the pre-issuance review is performed. As an example, see the following scenario:</w:t>
      </w:r>
    </w:p>
    <w:p w14:paraId="0BBA1C74" w14:textId="77777777" w:rsidR="008E4CC8" w:rsidRPr="008E4CC8" w:rsidRDefault="008E4CC8" w:rsidP="00793AEE">
      <w:pPr>
        <w:widowControl/>
        <w:autoSpaceDE/>
        <w:autoSpaceDN/>
        <w:adjustRightInd/>
        <w:spacing w:after="120"/>
        <w:ind w:left="360"/>
        <w:rPr>
          <w:rFonts w:ascii="Arial" w:eastAsia="Calibri" w:hAnsi="Arial" w:cs="Arial"/>
        </w:rPr>
      </w:pPr>
      <w:r w:rsidRPr="008E4CC8">
        <w:rPr>
          <w:rFonts w:ascii="Arial" w:eastAsia="Calibri" w:hAnsi="Arial" w:cs="Arial"/>
        </w:rPr>
        <w:t xml:space="preserve">Peer review year: </w:t>
      </w:r>
      <w:r w:rsidRPr="008E4CC8">
        <w:rPr>
          <w:rFonts w:ascii="Arial" w:eastAsia="Calibri" w:hAnsi="Arial" w:cs="Arial"/>
          <w:b/>
          <w:bCs/>
        </w:rPr>
        <w:t>Jan 1, 2020 – Dec 31, 2020</w:t>
      </w:r>
      <w:r w:rsidRPr="008E4CC8">
        <w:rPr>
          <w:rFonts w:ascii="Arial" w:eastAsia="Calibri" w:hAnsi="Arial" w:cs="Arial"/>
        </w:rPr>
        <w:t xml:space="preserve"> </w:t>
      </w:r>
    </w:p>
    <w:p w14:paraId="7DE23EFE" w14:textId="77777777" w:rsidR="008E4CC8" w:rsidRPr="008E4CC8" w:rsidRDefault="008E4CC8" w:rsidP="00793AEE">
      <w:pPr>
        <w:widowControl/>
        <w:autoSpaceDE/>
        <w:autoSpaceDN/>
        <w:adjustRightInd/>
        <w:spacing w:after="120"/>
        <w:ind w:left="360"/>
        <w:rPr>
          <w:rFonts w:ascii="Arial" w:eastAsia="Calibri" w:hAnsi="Arial" w:cs="Arial"/>
        </w:rPr>
      </w:pPr>
      <w:r w:rsidRPr="008E4CC8">
        <w:rPr>
          <w:rFonts w:ascii="Arial" w:eastAsia="Calibri" w:hAnsi="Arial" w:cs="Arial"/>
        </w:rPr>
        <w:t xml:space="preserve">The year after the peer review year end: </w:t>
      </w:r>
      <w:r w:rsidRPr="008E4CC8">
        <w:rPr>
          <w:rFonts w:ascii="Arial" w:eastAsia="Calibri" w:hAnsi="Arial" w:cs="Arial"/>
          <w:b/>
          <w:bCs/>
        </w:rPr>
        <w:t>Jan 1, 2021 – Dec 31, 2021</w:t>
      </w:r>
      <w:r w:rsidRPr="008E4CC8">
        <w:rPr>
          <w:rFonts w:ascii="Arial" w:eastAsia="Calibri" w:hAnsi="Arial" w:cs="Arial"/>
        </w:rPr>
        <w:t xml:space="preserve"> – The person would remain independent if the pre-issuance reviews were on engagements with years-ending during this period.</w:t>
      </w:r>
    </w:p>
    <w:p w14:paraId="6B978098" w14:textId="1CC454B1" w:rsidR="008E4CC8" w:rsidRPr="008E4CC8" w:rsidRDefault="008E4CC8" w:rsidP="00793AEE">
      <w:pPr>
        <w:widowControl/>
        <w:autoSpaceDE/>
        <w:autoSpaceDN/>
        <w:adjustRightInd/>
        <w:spacing w:after="120"/>
        <w:ind w:left="360"/>
        <w:rPr>
          <w:rFonts w:ascii="Arial" w:eastAsia="Calibri" w:hAnsi="Arial" w:cs="Arial"/>
        </w:rPr>
      </w:pPr>
      <w:r w:rsidRPr="008E4CC8">
        <w:rPr>
          <w:rFonts w:ascii="Arial" w:eastAsia="Calibri" w:hAnsi="Arial" w:cs="Arial"/>
        </w:rPr>
        <w:t xml:space="preserve">The year immediately preceding the next peer review: </w:t>
      </w:r>
      <w:r w:rsidRPr="008E4CC8">
        <w:rPr>
          <w:rFonts w:ascii="Arial" w:eastAsia="Calibri" w:hAnsi="Arial" w:cs="Arial"/>
          <w:b/>
          <w:bCs/>
        </w:rPr>
        <w:t xml:space="preserve">Jan 1, 2022 – Dec 31, 2022 </w:t>
      </w:r>
      <w:r w:rsidRPr="008E4CC8">
        <w:rPr>
          <w:rFonts w:ascii="Arial" w:eastAsia="Calibri" w:hAnsi="Arial" w:cs="Arial"/>
        </w:rPr>
        <w:t>or the year within the peer review year</w:t>
      </w:r>
      <w:r w:rsidRPr="008E4CC8">
        <w:rPr>
          <w:rFonts w:ascii="Arial" w:eastAsia="Calibri" w:hAnsi="Arial" w:cs="Arial"/>
          <w:b/>
          <w:bCs/>
        </w:rPr>
        <w:t>: Jan 1, 2023- Dec 31, 2023</w:t>
      </w:r>
      <w:r w:rsidRPr="008E4CC8">
        <w:rPr>
          <w:rFonts w:ascii="Arial" w:eastAsia="Calibri" w:hAnsi="Arial" w:cs="Arial"/>
        </w:rPr>
        <w:t xml:space="preserve"> – The person’s independence would be impaired for the next peer review if </w:t>
      </w:r>
      <w:r w:rsidR="00C51D5B">
        <w:rPr>
          <w:rFonts w:ascii="Arial" w:eastAsia="Calibri" w:hAnsi="Arial" w:cs="Arial"/>
        </w:rPr>
        <w:t>he or she</w:t>
      </w:r>
      <w:r w:rsidRPr="008E4CC8">
        <w:rPr>
          <w:rFonts w:ascii="Arial" w:eastAsia="Calibri" w:hAnsi="Arial" w:cs="Arial"/>
        </w:rPr>
        <w:t xml:space="preserve"> performed pre-issuance reviews on engagements with years-ending during these periods.</w:t>
      </w:r>
    </w:p>
    <w:p w14:paraId="2E2D3DD5" w14:textId="32F1D5C1" w:rsidR="008E4CC8" w:rsidRPr="008E4CC8" w:rsidRDefault="008E4CC8" w:rsidP="00793AEE">
      <w:pPr>
        <w:widowControl/>
        <w:autoSpaceDE/>
        <w:autoSpaceDN/>
        <w:adjustRightInd/>
        <w:spacing w:after="120"/>
        <w:rPr>
          <w:rFonts w:ascii="Arial" w:eastAsia="Calibri" w:hAnsi="Arial" w:cs="Arial"/>
        </w:rPr>
      </w:pPr>
      <w:r w:rsidRPr="008E4CC8">
        <w:rPr>
          <w:rFonts w:ascii="Arial" w:eastAsia="Calibri" w:hAnsi="Arial" w:cs="Arial"/>
        </w:rPr>
        <w:t xml:space="preserve">Likewise, the person would be considered independent on your firm’s next peer review if </w:t>
      </w:r>
      <w:r w:rsidR="00C51D5B">
        <w:rPr>
          <w:rFonts w:ascii="Arial" w:eastAsia="Calibri" w:hAnsi="Arial" w:cs="Arial"/>
        </w:rPr>
        <w:t>he or she</w:t>
      </w:r>
      <w:r w:rsidRPr="008E4CC8">
        <w:rPr>
          <w:rFonts w:ascii="Arial" w:eastAsia="Calibri" w:hAnsi="Arial" w:cs="Arial"/>
        </w:rPr>
        <w:t xml:space="preserve"> perform</w:t>
      </w:r>
      <w:r w:rsidR="00C51D5B">
        <w:rPr>
          <w:rFonts w:ascii="Arial" w:eastAsia="Calibri" w:hAnsi="Arial" w:cs="Arial"/>
        </w:rPr>
        <w:t>s</w:t>
      </w:r>
      <w:r w:rsidRPr="008E4CC8">
        <w:rPr>
          <w:rFonts w:ascii="Arial" w:eastAsia="Calibri" w:hAnsi="Arial" w:cs="Arial"/>
        </w:rPr>
        <w:t xml:space="preserve"> any service involving your firm’s system of quality control for or during the year immediately after the previous peer review year. Such services include reviewing or performing your firm’s annual internal monitoring, reviewing your firm’s completion of the intended remedial actions in your Letter of Response or Findings for Further Consideration, and reviewing your firm’s Quality Control Document.</w:t>
      </w:r>
    </w:p>
    <w:p w14:paraId="18A9DC8A" w14:textId="70EC0385" w:rsidR="008E4CC8" w:rsidRDefault="008E4CC8" w:rsidP="00793AEE">
      <w:pPr>
        <w:widowControl/>
        <w:autoSpaceDE/>
        <w:autoSpaceDN/>
        <w:adjustRightInd/>
        <w:spacing w:after="120"/>
        <w:rPr>
          <w:rFonts w:ascii="Calibri" w:eastAsia="Calibri" w:hAnsi="Calibri" w:cs="Times New Roman"/>
        </w:rPr>
      </w:pPr>
      <w:r w:rsidRPr="008E4CC8">
        <w:rPr>
          <w:rFonts w:ascii="Arial" w:eastAsia="Calibri" w:hAnsi="Arial" w:cs="Arial"/>
        </w:rPr>
        <w:t xml:space="preserve">If a member of your peer review team cannot perform the service, </w:t>
      </w:r>
      <w:r w:rsidR="00C51D5B">
        <w:rPr>
          <w:rFonts w:ascii="Arial" w:eastAsia="Calibri" w:hAnsi="Arial" w:cs="Arial"/>
        </w:rPr>
        <w:t>he or she</w:t>
      </w:r>
      <w:r w:rsidRPr="008E4CC8">
        <w:rPr>
          <w:rFonts w:ascii="Arial" w:eastAsia="Calibri" w:hAnsi="Arial" w:cs="Arial"/>
        </w:rPr>
        <w:t xml:space="preserve"> may recommend who can.  Additionally, the </w:t>
      </w:r>
      <w:hyperlink r:id="rId13" w:history="1">
        <w:r w:rsidRPr="00D15BA1">
          <w:rPr>
            <w:rFonts w:ascii="Arial" w:eastAsia="Calibri" w:hAnsi="Arial" w:cs="Arial"/>
            <w:color w:val="2E72FF" w:themeColor="text2" w:themeTint="80"/>
            <w:u w:val="single"/>
          </w:rPr>
          <w:t>Peer Reviewer Search</w:t>
        </w:r>
      </w:hyperlink>
      <w:r w:rsidRPr="008E4CC8">
        <w:rPr>
          <w:rFonts w:ascii="Arial" w:eastAsia="Calibri" w:hAnsi="Arial" w:cs="Arial"/>
        </w:rPr>
        <w:t xml:space="preserve"> includes peer reviewers who have indicated on their resumes that they are willing to perform these services – select “I am a firm looking for an outside party or subject matter expert to perform consulting services for my firm” to identify an outside party</w:t>
      </w:r>
      <w:r w:rsidRPr="008E4CC8">
        <w:rPr>
          <w:rFonts w:ascii="Calibri" w:eastAsia="Calibri" w:hAnsi="Calibri" w:cs="Times New Roman"/>
        </w:rPr>
        <w:t>.</w:t>
      </w:r>
    </w:p>
    <w:p w14:paraId="294FF6FC" w14:textId="77777777" w:rsidR="00793AEE" w:rsidRPr="008E4CC8" w:rsidRDefault="00793AEE" w:rsidP="008E4CC8">
      <w:pPr>
        <w:widowControl/>
        <w:autoSpaceDE/>
        <w:autoSpaceDN/>
        <w:adjustRightInd/>
        <w:spacing w:after="160" w:line="259" w:lineRule="auto"/>
        <w:rPr>
          <w:rFonts w:ascii="Calibri" w:eastAsia="Calibri" w:hAnsi="Calibri" w:cs="Times New Roman"/>
        </w:rPr>
      </w:pPr>
    </w:p>
    <w:p w14:paraId="3DACF5A7" w14:textId="7CC7ECD0" w:rsidR="008368B5" w:rsidRDefault="008368B5" w:rsidP="004214ED">
      <w:pPr>
        <w:pStyle w:val="NoSpacing"/>
        <w:rPr>
          <w:rFonts w:ascii="Arial" w:hAnsi="Arial" w:cs="Arial"/>
          <w:b/>
          <w:bCs/>
          <w:color w:val="FF0000"/>
          <w:sz w:val="32"/>
          <w:szCs w:val="32"/>
        </w:rPr>
      </w:pPr>
      <w:r>
        <w:rPr>
          <w:rFonts w:ascii="Arial" w:hAnsi="Arial" w:cs="Arial"/>
          <w:b/>
          <w:bCs/>
          <w:iCs/>
          <w:noProof/>
          <w:color w:val="005BBB"/>
          <w:szCs w:val="24"/>
        </w:rPr>
        <mc:AlternateContent>
          <mc:Choice Requires="wps">
            <w:drawing>
              <wp:anchor distT="0" distB="0" distL="114300" distR="114300" simplePos="0" relativeHeight="251661312" behindDoc="0" locked="0" layoutInCell="1" allowOverlap="1" wp14:anchorId="1CD4E778" wp14:editId="2EC09C78">
                <wp:simplePos x="0" y="0"/>
                <wp:positionH relativeFrom="column">
                  <wp:posOffset>0</wp:posOffset>
                </wp:positionH>
                <wp:positionV relativeFrom="paragraph">
                  <wp:posOffset>-635</wp:posOffset>
                </wp:positionV>
                <wp:extent cx="6795654" cy="325581"/>
                <wp:effectExtent l="0" t="0" r="24765" b="17780"/>
                <wp:wrapNone/>
                <wp:docPr id="6" name="Rectangle 6"/>
                <wp:cNvGraphicFramePr/>
                <a:graphic xmlns:a="http://schemas.openxmlformats.org/drawingml/2006/main">
                  <a:graphicData uri="http://schemas.microsoft.com/office/word/2010/wordprocessingShape">
                    <wps:wsp>
                      <wps:cNvSpPr/>
                      <wps:spPr>
                        <a:xfrm>
                          <a:off x="0" y="0"/>
                          <a:ext cx="6795654" cy="325581"/>
                        </a:xfrm>
                        <a:prstGeom prst="rect">
                          <a:avLst/>
                        </a:prstGeom>
                        <a:solidFill>
                          <a:srgbClr val="005BBB"/>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58CD47" w14:textId="1C98DE7B" w:rsidR="008368B5" w:rsidRPr="008368B5" w:rsidRDefault="008368B5" w:rsidP="008368B5">
                            <w:pPr>
                              <w:rPr>
                                <w:rFonts w:ascii="Arial" w:hAnsi="Arial" w:cs="Arial"/>
                                <w:b/>
                                <w:bCs/>
                                <w:sz w:val="32"/>
                                <w:szCs w:val="32"/>
                              </w:rPr>
                            </w:pPr>
                            <w:r>
                              <w:rPr>
                                <w:rFonts w:ascii="Arial" w:hAnsi="Arial" w:cs="Arial"/>
                                <w:b/>
                                <w:bCs/>
                                <w:sz w:val="32"/>
                                <w:szCs w:val="32"/>
                              </w:rPr>
                              <w:t>Single Audits and SOC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4E778" id="Rectangle 6" o:spid="_x0000_s1027" style="position:absolute;margin-left:0;margin-top:-.05pt;width:535.1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" fillcolor="#005bbb" strokecolor="#0d395d [1604]" strokeweight="1pt">
                <v:textbox>
                  <w:txbxContent>
                    <w:p w14:paraId="2F58CD47" w14:textId="1C98DE7B" w:rsidR="008368B5" w:rsidRPr="008368B5" w:rsidRDefault="008368B5" w:rsidP="008368B5">
                      <w:pPr>
                        <w:rPr>
                          <w:rFonts w:ascii="Arial" w:hAnsi="Arial" w:cs="Arial"/>
                          <w:b/>
                          <w:bCs/>
                          <w:sz w:val="32"/>
                          <w:szCs w:val="32"/>
                        </w:rPr>
                      </w:pPr>
                      <w:r>
                        <w:rPr>
                          <w:rFonts w:ascii="Arial" w:hAnsi="Arial" w:cs="Arial"/>
                          <w:b/>
                          <w:bCs/>
                          <w:sz w:val="32"/>
                          <w:szCs w:val="32"/>
                        </w:rPr>
                        <w:t>Single Audits and SOC tools</w:t>
                      </w:r>
                    </w:p>
                  </w:txbxContent>
                </v:textbox>
              </v:rect>
            </w:pict>
          </mc:Fallback>
        </mc:AlternateContent>
      </w:r>
    </w:p>
    <w:p w14:paraId="0BAB1220" w14:textId="09CB8AA1" w:rsidR="00AE0435" w:rsidRDefault="00AE0435" w:rsidP="004214ED">
      <w:pPr>
        <w:pStyle w:val="NoSpacing"/>
        <w:rPr>
          <w:noProof/>
          <w:sz w:val="2"/>
          <w:szCs w:val="2"/>
        </w:rPr>
      </w:pPr>
    </w:p>
    <w:p w14:paraId="6091FC8E" w14:textId="32009345" w:rsidR="00AE0435" w:rsidRDefault="00AE0435" w:rsidP="004214ED">
      <w:pPr>
        <w:pStyle w:val="NoSpacing"/>
        <w:rPr>
          <w:noProof/>
          <w:sz w:val="2"/>
          <w:szCs w:val="2"/>
        </w:rPr>
      </w:pPr>
    </w:p>
    <w:p w14:paraId="5B1E86D2" w14:textId="77777777" w:rsidR="00AE0435" w:rsidRPr="00AE0435" w:rsidRDefault="00AE0435" w:rsidP="004214ED">
      <w:pPr>
        <w:pStyle w:val="NoSpacing"/>
        <w:rPr>
          <w:noProof/>
          <w:sz w:val="2"/>
          <w:szCs w:val="2"/>
        </w:rPr>
      </w:pPr>
    </w:p>
    <w:p w14:paraId="09209EA0" w14:textId="77777777" w:rsidR="008368B5" w:rsidRDefault="008368B5" w:rsidP="00B54761">
      <w:pPr>
        <w:widowControl/>
        <w:autoSpaceDE/>
        <w:autoSpaceDN/>
        <w:adjustRightInd/>
        <w:spacing w:after="120"/>
        <w:rPr>
          <w:rFonts w:ascii="Arial" w:eastAsia="Calibri" w:hAnsi="Arial" w:cs="Arial"/>
          <w:b/>
          <w:bCs/>
          <w:color w:val="005BBB"/>
          <w:sz w:val="24"/>
          <w:szCs w:val="24"/>
        </w:rPr>
      </w:pPr>
      <w:bookmarkStart w:id="2" w:name="_Hlk87621788"/>
    </w:p>
    <w:p w14:paraId="001F0A00" w14:textId="2F9BDAAB" w:rsidR="001F41DA" w:rsidRPr="001F41DA" w:rsidRDefault="001F41DA" w:rsidP="00B54761">
      <w:pPr>
        <w:widowControl/>
        <w:autoSpaceDE/>
        <w:autoSpaceDN/>
        <w:adjustRightInd/>
        <w:spacing w:after="120"/>
        <w:rPr>
          <w:rFonts w:ascii="Arial" w:eastAsia="Calibri" w:hAnsi="Arial" w:cs="Arial"/>
          <w:b/>
          <w:bCs/>
          <w:color w:val="72246C"/>
          <w:sz w:val="24"/>
          <w:szCs w:val="24"/>
        </w:rPr>
      </w:pPr>
      <w:r w:rsidRPr="001F41DA">
        <w:rPr>
          <w:rFonts w:ascii="Arial" w:eastAsia="Calibri" w:hAnsi="Arial" w:cs="Arial"/>
          <w:b/>
          <w:bCs/>
          <w:color w:val="005BBB"/>
          <w:sz w:val="24"/>
          <w:szCs w:val="24"/>
        </w:rPr>
        <w:t>Do your clients need a single audit?</w:t>
      </w:r>
    </w:p>
    <w:p w14:paraId="47AD9669" w14:textId="56B794B7" w:rsidR="001F41DA" w:rsidRPr="001F41DA" w:rsidRDefault="001F41DA" w:rsidP="008C624D">
      <w:pPr>
        <w:widowControl/>
        <w:autoSpaceDE/>
        <w:autoSpaceDN/>
        <w:adjustRightInd/>
        <w:spacing w:after="120"/>
        <w:rPr>
          <w:rFonts w:ascii="Arial" w:eastAsia="Calibri" w:hAnsi="Arial" w:cs="Arial"/>
          <w:shd w:val="clear" w:color="auto" w:fill="FFFFFF"/>
        </w:rPr>
      </w:pPr>
      <w:r w:rsidRPr="001F41DA">
        <w:rPr>
          <w:rFonts w:ascii="Arial" w:eastAsia="Calibri" w:hAnsi="Arial" w:cs="Arial"/>
        </w:rPr>
        <w:t>The changes to the accounting profession in response to the COVID-19 pandemic have been swift. Legislation such as the CARES Act and the American Rescue Plan Act of 2021 have provided historic levels of federal funding to states and localities, not-for-profits, and other entities. With this new funding</w:t>
      </w:r>
      <w:r w:rsidR="00C51D5B">
        <w:rPr>
          <w:rFonts w:ascii="Arial" w:eastAsia="Calibri" w:hAnsi="Arial" w:cs="Arial"/>
        </w:rPr>
        <w:t>,</w:t>
      </w:r>
      <w:r w:rsidRPr="001F41DA">
        <w:rPr>
          <w:rFonts w:ascii="Arial" w:eastAsia="Calibri" w:hAnsi="Arial" w:cs="Arial"/>
        </w:rPr>
        <w:t xml:space="preserve"> many organizations may find themselves subject to a single audit for the first time. Single audits have a significant public interest component as they are relied on by federal agencies as part of their responsibilities for determining compliance with requirements of federal awards by nonfederal entities.</w:t>
      </w:r>
    </w:p>
    <w:p w14:paraId="6970193A" w14:textId="19DBCFF6" w:rsidR="001F41DA" w:rsidRPr="001F41DA" w:rsidRDefault="001F41DA" w:rsidP="008C624D">
      <w:pPr>
        <w:widowControl/>
        <w:autoSpaceDE/>
        <w:autoSpaceDN/>
        <w:adjustRightInd/>
        <w:spacing w:after="120"/>
        <w:rPr>
          <w:rFonts w:ascii="Arial" w:eastAsia="Calibri" w:hAnsi="Arial" w:cs="Arial"/>
        </w:rPr>
      </w:pPr>
      <w:r w:rsidRPr="001F41DA">
        <w:rPr>
          <w:rFonts w:ascii="Arial" w:eastAsia="Calibri" w:hAnsi="Arial" w:cs="Arial"/>
        </w:rPr>
        <w:t xml:space="preserve">If your client expends $750,000 or more in federal awards in a fiscal year, a single audit is likely required. These funds can be provided directly from the federal agencies or pass-through entities such as state and local agencies or not-for-profit organizations. The single audit is a highly specialized organization-wide audit </w:t>
      </w:r>
      <w:r w:rsidRPr="001F41DA">
        <w:rPr>
          <w:rFonts w:ascii="Arial" w:eastAsia="Calibri" w:hAnsi="Arial" w:cs="Arial"/>
          <w:color w:val="000000"/>
          <w:shd w:val="clear" w:color="auto" w:fill="FFFFFF"/>
        </w:rPr>
        <w:t>intended to provide assurance that a nonfederal entity has adequate internal controls in place and is in compliance with program requirements.</w:t>
      </w:r>
    </w:p>
    <w:p w14:paraId="59DA3E14" w14:textId="0D8625C9" w:rsidR="001F41DA" w:rsidRPr="001F41DA" w:rsidRDefault="001F41DA" w:rsidP="008C624D">
      <w:pPr>
        <w:widowControl/>
        <w:autoSpaceDE/>
        <w:autoSpaceDN/>
        <w:adjustRightInd/>
        <w:spacing w:after="120"/>
        <w:rPr>
          <w:rFonts w:ascii="Arial" w:eastAsia="Calibri" w:hAnsi="Arial" w:cs="Arial"/>
        </w:rPr>
      </w:pPr>
      <w:r w:rsidRPr="001F41DA">
        <w:rPr>
          <w:rFonts w:ascii="Arial" w:eastAsia="Calibri" w:hAnsi="Arial" w:cs="Arial"/>
        </w:rPr>
        <w:t>In conjunction to any single audits conducted, an audit in accordance with generally accepted government auditing standards (GAGAS) is also required.</w:t>
      </w:r>
    </w:p>
    <w:p w14:paraId="3A59E743" w14:textId="1EC26424" w:rsidR="001F41DA" w:rsidRPr="001F41DA" w:rsidRDefault="001F41DA" w:rsidP="008C624D">
      <w:pPr>
        <w:widowControl/>
        <w:autoSpaceDE/>
        <w:autoSpaceDN/>
        <w:adjustRightInd/>
        <w:spacing w:after="120"/>
        <w:rPr>
          <w:rFonts w:ascii="Arial" w:eastAsia="Calibri" w:hAnsi="Arial" w:cs="Arial"/>
          <w:shd w:val="clear" w:color="auto" w:fill="FFFFFF"/>
        </w:rPr>
      </w:pPr>
      <w:r w:rsidRPr="001F41DA">
        <w:rPr>
          <w:rFonts w:ascii="Arial" w:eastAsia="Calibri" w:hAnsi="Arial" w:cs="Arial"/>
          <w:color w:val="000000"/>
          <w:shd w:val="clear" w:color="auto" w:fill="FFFFFF"/>
        </w:rPr>
        <w:t xml:space="preserve">If your firm performs a single audit engagement, it will be required to have a system peer review, which includes </w:t>
      </w:r>
      <w:r w:rsidRPr="001F41DA">
        <w:rPr>
          <w:rFonts w:ascii="Arial" w:eastAsia="Calibri" w:hAnsi="Arial" w:cs="Arial"/>
        </w:rPr>
        <w:t>a review of your firm’s system of quality control and at least one single audit engagement (or the audit of those compliance requirements and internal controls over compliance with those requirements).</w:t>
      </w:r>
    </w:p>
    <w:p w14:paraId="619A46AA" w14:textId="238B85DE" w:rsidR="001F41DA" w:rsidRPr="001F41DA" w:rsidRDefault="001F41DA" w:rsidP="008C624D">
      <w:pPr>
        <w:widowControl/>
        <w:autoSpaceDE/>
        <w:autoSpaceDN/>
        <w:adjustRightInd/>
        <w:spacing w:after="120"/>
        <w:rPr>
          <w:rFonts w:ascii="Arial" w:eastAsia="Calibri" w:hAnsi="Arial" w:cs="Arial"/>
        </w:rPr>
      </w:pPr>
      <w:r w:rsidRPr="001F41DA">
        <w:rPr>
          <w:rFonts w:ascii="Arial" w:eastAsia="Calibri" w:hAnsi="Arial" w:cs="Arial"/>
        </w:rPr>
        <w:t>For more information on single audits, consider the following resources:</w:t>
      </w:r>
    </w:p>
    <w:p w14:paraId="6E66CBC1" w14:textId="0B070196" w:rsidR="001F41DA" w:rsidRPr="001F41DA" w:rsidRDefault="001F41DA" w:rsidP="00BA410A">
      <w:pPr>
        <w:widowControl/>
        <w:numPr>
          <w:ilvl w:val="0"/>
          <w:numId w:val="38"/>
        </w:numPr>
        <w:shd w:val="clear" w:color="auto" w:fill="FFFFFF"/>
        <w:autoSpaceDE/>
        <w:autoSpaceDN/>
        <w:adjustRightInd/>
        <w:spacing w:after="0"/>
        <w:textAlignment w:val="baseline"/>
        <w:rPr>
          <w:rFonts w:ascii="Arial" w:hAnsi="Arial" w:cs="Arial"/>
          <w:color w:val="72246C"/>
        </w:rPr>
      </w:pPr>
      <w:r w:rsidRPr="001F41DA">
        <w:rPr>
          <w:rFonts w:ascii="Arial" w:hAnsi="Arial" w:cs="Arial"/>
          <w:color w:val="000000"/>
        </w:rPr>
        <w:t>To assist in understanding new programs that require single audits</w:t>
      </w:r>
      <w:r w:rsidRPr="00D15BA1">
        <w:rPr>
          <w:rFonts w:ascii="Arial" w:hAnsi="Arial" w:cs="Arial"/>
          <w:color w:val="2E72FF" w:themeColor="text2" w:themeTint="80"/>
        </w:rPr>
        <w:t xml:space="preserve">, </w:t>
      </w:r>
      <w:hyperlink r:id="rId14" w:history="1">
        <w:r w:rsidRPr="00D15BA1">
          <w:rPr>
            <w:rFonts w:ascii="Arial" w:hAnsi="Arial" w:cs="Arial"/>
            <w:color w:val="2E72FF" w:themeColor="text2" w:themeTint="80"/>
            <w:u w:val="single"/>
          </w:rPr>
          <w:t>GAQC Summary of Uniform Guidance Applicability for New COVID-19 Related Federal Programs</w:t>
        </w:r>
      </w:hyperlink>
      <w:r w:rsidRPr="001F41DA">
        <w:rPr>
          <w:rFonts w:ascii="Arial" w:hAnsi="Arial" w:cs="Arial"/>
          <w:color w:val="000000"/>
        </w:rPr>
        <w:t>.</w:t>
      </w:r>
      <w:r w:rsidRPr="001F41DA">
        <w:rPr>
          <w:rFonts w:ascii="Arial" w:hAnsi="Arial" w:cs="Arial"/>
          <w:color w:val="72246C"/>
        </w:rPr>
        <w:t xml:space="preserve"> </w:t>
      </w:r>
    </w:p>
    <w:p w14:paraId="3840E792" w14:textId="56F0EA54" w:rsidR="001F41DA" w:rsidRPr="001F41DA" w:rsidRDefault="001F41DA" w:rsidP="00BA410A">
      <w:pPr>
        <w:widowControl/>
        <w:numPr>
          <w:ilvl w:val="0"/>
          <w:numId w:val="38"/>
        </w:numPr>
        <w:shd w:val="clear" w:color="auto" w:fill="FFFFFF"/>
        <w:autoSpaceDE/>
        <w:autoSpaceDN/>
        <w:adjustRightInd/>
        <w:spacing w:after="0"/>
        <w:textAlignment w:val="baseline"/>
        <w:rPr>
          <w:rFonts w:ascii="Arial" w:hAnsi="Arial" w:cs="Arial"/>
        </w:rPr>
      </w:pPr>
      <w:r w:rsidRPr="001F41DA">
        <w:rPr>
          <w:rFonts w:ascii="Arial" w:hAnsi="Arial" w:cs="Arial"/>
          <w:color w:val="000000"/>
        </w:rPr>
        <w:t xml:space="preserve">For additional information related to performing single audits under the Uniform Guidance, AICPA’s </w:t>
      </w:r>
      <w:hyperlink r:id="rId15" w:history="1">
        <w:r w:rsidRPr="00D15BA1">
          <w:rPr>
            <w:rFonts w:ascii="Arial" w:hAnsi="Arial" w:cs="Arial"/>
            <w:color w:val="2E72FF" w:themeColor="text2" w:themeTint="80"/>
            <w:u w:val="single"/>
            <w:shd w:val="clear" w:color="auto" w:fill="FFFFFF"/>
          </w:rPr>
          <w:t>Governmental Audit Quality Center</w:t>
        </w:r>
      </w:hyperlink>
      <w:r w:rsidRPr="001F41DA">
        <w:rPr>
          <w:rFonts w:ascii="Arial" w:hAnsi="Arial" w:cs="Arial"/>
          <w:color w:val="000000"/>
        </w:rPr>
        <w:t xml:space="preserve">, </w:t>
      </w:r>
      <w:r w:rsidRPr="001F41DA">
        <w:rPr>
          <w:rFonts w:ascii="Arial" w:hAnsi="Arial" w:cs="Arial"/>
          <w:color w:val="111111"/>
          <w:shd w:val="clear" w:color="auto" w:fill="FFFFFF"/>
        </w:rPr>
        <w:t xml:space="preserve">including </w:t>
      </w:r>
      <w:r w:rsidRPr="001F41DA">
        <w:rPr>
          <w:rFonts w:ascii="Arial" w:hAnsi="Arial" w:cs="Arial"/>
          <w:color w:val="000000"/>
        </w:rPr>
        <w:t xml:space="preserve">its </w:t>
      </w:r>
      <w:hyperlink r:id="rId16" w:history="1">
        <w:r w:rsidRPr="00D15BA1">
          <w:rPr>
            <w:rFonts w:ascii="Arial" w:hAnsi="Arial" w:cs="Arial"/>
            <w:color w:val="2E72FF" w:themeColor="text2" w:themeTint="80"/>
            <w:u w:val="single"/>
          </w:rPr>
          <w:t>COVID-19 Resources</w:t>
        </w:r>
      </w:hyperlink>
      <w:r w:rsidRPr="001F41DA">
        <w:rPr>
          <w:rFonts w:ascii="Arial" w:hAnsi="Arial" w:cs="Arial"/>
          <w:color w:val="000000"/>
        </w:rPr>
        <w:t xml:space="preserve"> page.</w:t>
      </w:r>
    </w:p>
    <w:p w14:paraId="0E8C2788" w14:textId="7EE4BAA7" w:rsidR="001F41DA" w:rsidRPr="001F41DA" w:rsidRDefault="001F41DA" w:rsidP="001F41DA">
      <w:pPr>
        <w:widowControl/>
        <w:numPr>
          <w:ilvl w:val="0"/>
          <w:numId w:val="38"/>
        </w:numPr>
        <w:shd w:val="clear" w:color="auto" w:fill="FFFFFF"/>
        <w:autoSpaceDE/>
        <w:autoSpaceDN/>
        <w:adjustRightInd/>
        <w:spacing w:after="0"/>
        <w:textAlignment w:val="baseline"/>
        <w:rPr>
          <w:rFonts w:ascii="Arial" w:hAnsi="Arial" w:cs="Arial"/>
          <w:color w:val="72246C"/>
        </w:rPr>
      </w:pPr>
      <w:r w:rsidRPr="001F41DA">
        <w:rPr>
          <w:rFonts w:ascii="Arial" w:hAnsi="Arial" w:cs="Arial"/>
          <w:color w:val="000000"/>
        </w:rPr>
        <w:t xml:space="preserve">For helpful resources for experienced single auditors, </w:t>
      </w:r>
      <w:hyperlink r:id="rId17" w:history="1">
        <w:r w:rsidRPr="00D15BA1">
          <w:rPr>
            <w:rFonts w:ascii="Arial" w:eastAsia="Calibri" w:hAnsi="Arial" w:cs="Arial"/>
            <w:color w:val="2E72FF" w:themeColor="text2" w:themeTint="80"/>
            <w:u w:val="single"/>
          </w:rPr>
          <w:t>Increased demand for single audit engagements</w:t>
        </w:r>
      </w:hyperlink>
      <w:r w:rsidRPr="001F41DA">
        <w:rPr>
          <w:rFonts w:ascii="Arial" w:hAnsi="Arial" w:cs="Arial"/>
          <w:color w:val="000000"/>
        </w:rPr>
        <w:t>.</w:t>
      </w:r>
    </w:p>
    <w:p w14:paraId="77AFD223" w14:textId="44A43408" w:rsidR="006F2B4F" w:rsidRDefault="001F41DA" w:rsidP="00062A40">
      <w:pPr>
        <w:widowControl/>
        <w:numPr>
          <w:ilvl w:val="0"/>
          <w:numId w:val="38"/>
        </w:numPr>
        <w:shd w:val="clear" w:color="auto" w:fill="FFFFFF"/>
        <w:autoSpaceDE/>
        <w:autoSpaceDN/>
        <w:adjustRightInd/>
        <w:spacing w:after="0"/>
        <w:rPr>
          <w:rFonts w:ascii="Arial" w:hAnsi="Arial" w:cs="Arial"/>
        </w:rPr>
      </w:pPr>
      <w:r w:rsidRPr="001F41DA">
        <w:rPr>
          <w:rFonts w:ascii="Arial" w:hAnsi="Arial" w:cs="Arial"/>
          <w:color w:val="000000"/>
        </w:rPr>
        <w:t xml:space="preserve">For additional questions related to peer review, contact the technical hotline at 919.402.4502 or </w:t>
      </w:r>
      <w:hyperlink r:id="rId18" w:history="1">
        <w:r w:rsidRPr="00D15BA1">
          <w:rPr>
            <w:rFonts w:ascii="Arial" w:hAnsi="Arial" w:cs="Arial"/>
            <w:color w:val="2E72FF" w:themeColor="text2" w:themeTint="80"/>
            <w:u w:val="single"/>
          </w:rPr>
          <w:t>prsupport@aicpa.org</w:t>
        </w:r>
      </w:hyperlink>
      <w:r w:rsidRPr="001F41DA">
        <w:rPr>
          <w:rFonts w:ascii="Arial" w:hAnsi="Arial" w:cs="Arial"/>
          <w:color w:val="000000"/>
        </w:rPr>
        <w:t>.</w:t>
      </w:r>
    </w:p>
    <w:bookmarkEnd w:id="2"/>
    <w:p w14:paraId="6A6CEF2B" w14:textId="77777777" w:rsidR="006A3531" w:rsidRPr="001F41DA" w:rsidRDefault="006A3531" w:rsidP="006A3531">
      <w:pPr>
        <w:widowControl/>
        <w:shd w:val="clear" w:color="auto" w:fill="FFFFFF"/>
        <w:autoSpaceDE/>
        <w:autoSpaceDN/>
        <w:adjustRightInd/>
        <w:spacing w:after="0"/>
        <w:rPr>
          <w:rFonts w:ascii="Arial" w:hAnsi="Arial" w:cs="Arial"/>
        </w:rPr>
      </w:pPr>
    </w:p>
    <w:p w14:paraId="78A7A7AF" w14:textId="77777777" w:rsidR="00793AEE" w:rsidRDefault="00793AEE" w:rsidP="00E95655">
      <w:pPr>
        <w:pStyle w:val="NoSpacing"/>
        <w:spacing w:after="120"/>
        <w:rPr>
          <w:rFonts w:ascii="Arial" w:hAnsi="Arial" w:cs="Arial"/>
          <w:b/>
          <w:bCs/>
          <w:i/>
          <w:iCs/>
          <w:noProof/>
          <w:color w:val="005BBB"/>
          <w:szCs w:val="24"/>
        </w:rPr>
      </w:pPr>
    </w:p>
    <w:p w14:paraId="15555981" w14:textId="02790B00" w:rsidR="001F41DA" w:rsidRPr="00E95655" w:rsidRDefault="006F2B4F" w:rsidP="00E95655">
      <w:pPr>
        <w:pStyle w:val="NoSpacing"/>
        <w:spacing w:after="120"/>
        <w:rPr>
          <w:rFonts w:ascii="Arial" w:hAnsi="Arial" w:cs="Arial"/>
          <w:b/>
          <w:bCs/>
          <w:i/>
          <w:iCs/>
          <w:noProof/>
          <w:color w:val="005BBB"/>
          <w:szCs w:val="24"/>
        </w:rPr>
      </w:pPr>
      <w:r w:rsidRPr="00E95655">
        <w:rPr>
          <w:rFonts w:ascii="Arial" w:hAnsi="Arial" w:cs="Arial"/>
          <w:b/>
          <w:bCs/>
          <w:i/>
          <w:iCs/>
          <w:noProof/>
          <w:color w:val="005BBB"/>
          <w:szCs w:val="24"/>
        </w:rPr>
        <w:t>Effect of the Use of Software Tools in SOC 2® Examinations</w:t>
      </w:r>
    </w:p>
    <w:p w14:paraId="5A985D70" w14:textId="213BD622" w:rsidR="00D3383C" w:rsidRPr="00D3383C" w:rsidRDefault="00D3383C" w:rsidP="00D3383C">
      <w:pPr>
        <w:widowControl/>
        <w:autoSpaceDE/>
        <w:autoSpaceDN/>
        <w:adjustRightInd/>
        <w:spacing w:after="160" w:line="259" w:lineRule="auto"/>
        <w:rPr>
          <w:rFonts w:ascii="Arial" w:hAnsi="Arial" w:cs="Arial"/>
        </w:rPr>
      </w:pPr>
      <w:r w:rsidRPr="00D3383C">
        <w:rPr>
          <w:rFonts w:ascii="Arial" w:hAnsi="Arial" w:cs="Arial"/>
        </w:rPr>
        <w:t>The AICPA staff has issued Frequently Asked Questions (FAQs) titled</w:t>
      </w:r>
      <w:r w:rsidR="00C51D5B">
        <w:rPr>
          <w:rFonts w:ascii="Arial" w:hAnsi="Arial" w:cs="Arial"/>
        </w:rPr>
        <w:t>,</w:t>
      </w:r>
      <w:r w:rsidRPr="00D3383C">
        <w:rPr>
          <w:rFonts w:ascii="Arial" w:hAnsi="Arial" w:cs="Arial"/>
        </w:rPr>
        <w:t xml:space="preserve"> </w:t>
      </w:r>
      <w:bookmarkStart w:id="3" w:name="_Hlk87615750"/>
      <w:r w:rsidRPr="00D15BA1">
        <w:rPr>
          <w:rFonts w:ascii="Arial" w:hAnsi="Arial" w:cs="Arial"/>
          <w:i/>
          <w:iCs/>
          <w:color w:val="2E72FF" w:themeColor="text2" w:themeTint="80"/>
        </w:rPr>
        <w:fldChar w:fldCharType="begin"/>
      </w:r>
      <w:r w:rsidRPr="00D15BA1">
        <w:rPr>
          <w:rFonts w:ascii="Arial" w:hAnsi="Arial" w:cs="Arial"/>
          <w:i/>
          <w:iCs/>
          <w:color w:val="2E72FF" w:themeColor="text2" w:themeTint="80"/>
        </w:rPr>
        <w:instrText xml:space="preserve"> HYPERLINK "https://future.aicpa.org/resources/article/faqs-effect-of-the-use-of-software-tools-on-soc-2-r-examinations" </w:instrText>
      </w:r>
      <w:r w:rsidRPr="00D15BA1">
        <w:rPr>
          <w:rFonts w:ascii="Arial" w:hAnsi="Arial" w:cs="Arial"/>
          <w:i/>
          <w:iCs/>
          <w:color w:val="2E72FF" w:themeColor="text2" w:themeTint="80"/>
        </w:rPr>
        <w:fldChar w:fldCharType="separate"/>
      </w:r>
      <w:r w:rsidRPr="00D15BA1">
        <w:rPr>
          <w:rFonts w:ascii="Arial" w:hAnsi="Arial" w:cs="Arial"/>
          <w:i/>
          <w:iCs/>
          <w:color w:val="2E72FF" w:themeColor="text2" w:themeTint="80"/>
          <w:u w:val="single"/>
        </w:rPr>
        <w:t>Effect of the Use of Software Tools in SOC 2® Examinations</w:t>
      </w:r>
      <w:r w:rsidRPr="00D15BA1">
        <w:rPr>
          <w:rFonts w:ascii="Arial" w:hAnsi="Arial" w:cs="Arial"/>
          <w:i/>
          <w:iCs/>
          <w:color w:val="2E72FF" w:themeColor="text2" w:themeTint="80"/>
        </w:rPr>
        <w:fldChar w:fldCharType="end"/>
      </w:r>
      <w:bookmarkEnd w:id="3"/>
      <w:r w:rsidRPr="00D3383C">
        <w:rPr>
          <w:rFonts w:ascii="Arial" w:hAnsi="Arial" w:cs="Arial"/>
        </w:rPr>
        <w:t>. The FAQs address an increasing number of software solutions intended to improve the efficiency with which service organizations can prepare for and undergo SOC 2 examinations.</w:t>
      </w:r>
      <w:r w:rsidRPr="00D3383C">
        <w:rPr>
          <w:rFonts w:ascii="Arial" w:hAnsi="Arial" w:cs="Arial"/>
          <w:vertAlign w:val="superscript"/>
        </w:rPr>
        <w:footnoteReference w:customMarkFollows="1" w:id="1"/>
        <w:t>[1]</w:t>
      </w:r>
      <w:r w:rsidRPr="00D3383C">
        <w:rPr>
          <w:rFonts w:ascii="Arial" w:hAnsi="Arial" w:cs="Arial"/>
        </w:rPr>
        <w:t xml:space="preserve"> Such software solutions, referred to as SOC 2 tools in the document, that are properly designed, configured and managed to meet the objectives of a service organization’s environment may benefit interactions between the service organization and the service auditor during a SOC 2 examination. However, there are certain risks that may arise from the use of such tools. </w:t>
      </w:r>
    </w:p>
    <w:p w14:paraId="72DAA19A" w14:textId="14AB44DD" w:rsidR="005D28DB" w:rsidRDefault="00D3383C" w:rsidP="00580A9B">
      <w:pPr>
        <w:widowControl/>
        <w:autoSpaceDE/>
        <w:autoSpaceDN/>
        <w:adjustRightInd/>
        <w:spacing w:after="160" w:line="259" w:lineRule="auto"/>
        <w:rPr>
          <w:rFonts w:ascii="Arial" w:hAnsi="Arial" w:cs="Arial"/>
        </w:rPr>
      </w:pPr>
      <w:r w:rsidRPr="00D3383C">
        <w:rPr>
          <w:rFonts w:ascii="Arial" w:hAnsi="Arial" w:cs="Arial"/>
        </w:rPr>
        <w:t>The FAQs describe the potential risks of using SOC 2 tools, how those risks may affect the ways in which the service auditor meets relevant responsibilities in a SOC 2 examination, and the professional and ethical responsibilities that a service auditor may need to consider before entering into certain business relationships with providers of SOC 2 tools. The FAQs represent the views of AICPA staff based on the input of members of the AICPA Assurance Service Executive Committee’s SOC 2 working group.</w:t>
      </w:r>
    </w:p>
    <w:p w14:paraId="097DA0BD" w14:textId="77777777" w:rsidR="008368B5" w:rsidRDefault="008368B5" w:rsidP="00580A9B">
      <w:pPr>
        <w:widowControl/>
        <w:autoSpaceDE/>
        <w:autoSpaceDN/>
        <w:adjustRightInd/>
        <w:spacing w:after="160" w:line="259" w:lineRule="auto"/>
        <w:rPr>
          <w:rFonts w:ascii="Arial" w:hAnsi="Arial" w:cs="Arial"/>
        </w:rPr>
      </w:pPr>
    </w:p>
    <w:p w14:paraId="51971EC5" w14:textId="77777777" w:rsidR="008368B5" w:rsidRDefault="008368B5" w:rsidP="00580A9B">
      <w:pPr>
        <w:widowControl/>
        <w:autoSpaceDE/>
        <w:autoSpaceDN/>
        <w:adjustRightInd/>
        <w:spacing w:after="160" w:line="259" w:lineRule="auto"/>
        <w:rPr>
          <w:rFonts w:ascii="Arial" w:hAnsi="Arial" w:cs="Arial"/>
        </w:rPr>
      </w:pPr>
    </w:p>
    <w:p w14:paraId="473F5631" w14:textId="4EFD4A67" w:rsidR="005D28DB" w:rsidRDefault="005A4665" w:rsidP="00580A9B">
      <w:pPr>
        <w:widowControl/>
        <w:autoSpaceDE/>
        <w:autoSpaceDN/>
        <w:adjustRightInd/>
        <w:spacing w:after="160" w:line="259" w:lineRule="auto"/>
        <w:rPr>
          <w:rFonts w:ascii="Arial" w:hAnsi="Arial" w:cs="Arial"/>
        </w:rPr>
      </w:pPr>
      <w:r w:rsidRPr="005A4665">
        <w:rPr>
          <w:rFonts w:ascii="Arial" w:hAnsi="Arial" w:cs="Arial"/>
          <w:noProof/>
        </w:rPr>
        <w:drawing>
          <wp:inline distT="0" distB="0" distL="0" distR="0" wp14:anchorId="64914688" wp14:editId="413B229A">
            <wp:extent cx="6906491" cy="4280535"/>
            <wp:effectExtent l="0" t="0" r="8890" b="5715"/>
            <wp:docPr id="22530" name="Picture 2" descr="Our Clients - Unify Health Services">
              <a:extLst xmlns:a="http://schemas.openxmlformats.org/drawingml/2006/main">
                <a:ext uri="{FF2B5EF4-FFF2-40B4-BE49-F238E27FC236}">
                  <a16:creationId xmlns:a16="http://schemas.microsoft.com/office/drawing/2014/main" id="{43FA69D1-F2BA-CD43-BE34-B6DA221A01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descr="Our Clients - Unify Health Services">
                      <a:extLst>
                        <a:ext uri="{FF2B5EF4-FFF2-40B4-BE49-F238E27FC236}">
                          <a16:creationId xmlns:a16="http://schemas.microsoft.com/office/drawing/2014/main" id="{43FA69D1-F2BA-CD43-BE34-B6DA221A012E}"/>
                        </a:ext>
                      </a:extLst>
                    </pic:cNvPr>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l="9294" t="-1" r="-36" b="-1"/>
                    <a:stretch/>
                  </pic:blipFill>
                  <pic:spPr bwMode="auto">
                    <a:xfrm>
                      <a:off x="0" y="0"/>
                      <a:ext cx="6978059" cy="4324892"/>
                    </a:xfrm>
                    <a:prstGeom prst="rect">
                      <a:avLst/>
                    </a:prstGeom>
                    <a:noFill/>
                    <a:ln>
                      <a:noFill/>
                    </a:ln>
                    <a:extLst>
                      <a:ext uri="{53640926-AAD7-44D8-BBD7-CCE9431645EC}">
                        <a14:shadowObscured xmlns:a14="http://schemas.microsoft.com/office/drawing/2010/main"/>
                      </a:ext>
                    </a:extLst>
                  </pic:spPr>
                </pic:pic>
              </a:graphicData>
            </a:graphic>
          </wp:inline>
        </w:drawing>
      </w:r>
    </w:p>
    <w:p w14:paraId="661C2EC7" w14:textId="52D8D69E" w:rsidR="008368B5" w:rsidRDefault="008368B5" w:rsidP="00580A9B">
      <w:pPr>
        <w:widowControl/>
        <w:autoSpaceDE/>
        <w:autoSpaceDN/>
        <w:adjustRightInd/>
        <w:spacing w:after="160" w:line="259" w:lineRule="auto"/>
        <w:rPr>
          <w:rFonts w:ascii="Arial" w:hAnsi="Arial" w:cs="Arial"/>
        </w:rPr>
      </w:pPr>
    </w:p>
    <w:p w14:paraId="63AE477C" w14:textId="2FF942F4" w:rsidR="00793AEE" w:rsidRDefault="00793AEE" w:rsidP="00580A9B">
      <w:pPr>
        <w:widowControl/>
        <w:autoSpaceDE/>
        <w:autoSpaceDN/>
        <w:adjustRightInd/>
        <w:spacing w:after="160" w:line="259" w:lineRule="auto"/>
        <w:rPr>
          <w:rFonts w:ascii="Arial" w:hAnsi="Arial" w:cs="Arial"/>
        </w:rPr>
      </w:pPr>
    </w:p>
    <w:p w14:paraId="59CC4D91" w14:textId="21107145" w:rsidR="008368B5" w:rsidRDefault="008368B5" w:rsidP="00580A9B">
      <w:pPr>
        <w:widowControl/>
        <w:autoSpaceDE/>
        <w:autoSpaceDN/>
        <w:adjustRightInd/>
        <w:spacing w:after="160" w:line="259" w:lineRule="auto"/>
        <w:rPr>
          <w:rFonts w:ascii="Arial" w:hAnsi="Arial" w:cs="Arial"/>
        </w:rPr>
      </w:pPr>
      <w:r>
        <w:rPr>
          <w:rFonts w:ascii="Arial" w:hAnsi="Arial" w:cs="Arial"/>
          <w:b/>
          <w:bCs/>
          <w:iCs/>
          <w:noProof/>
          <w:color w:val="005BBB"/>
          <w:szCs w:val="24"/>
        </w:rPr>
        <w:lastRenderedPageBreak/>
        <mc:AlternateContent>
          <mc:Choice Requires="wps">
            <w:drawing>
              <wp:anchor distT="0" distB="0" distL="114300" distR="114300" simplePos="0" relativeHeight="251663360" behindDoc="0" locked="0" layoutInCell="1" allowOverlap="1" wp14:anchorId="0ED635E4" wp14:editId="4ADE2CCA">
                <wp:simplePos x="0" y="0"/>
                <wp:positionH relativeFrom="column">
                  <wp:posOffset>0</wp:posOffset>
                </wp:positionH>
                <wp:positionV relativeFrom="paragraph">
                  <wp:posOffset>0</wp:posOffset>
                </wp:positionV>
                <wp:extent cx="6795654" cy="325581"/>
                <wp:effectExtent l="0" t="0" r="24765" b="17780"/>
                <wp:wrapNone/>
                <wp:docPr id="7" name="Rectangle 7"/>
                <wp:cNvGraphicFramePr/>
                <a:graphic xmlns:a="http://schemas.openxmlformats.org/drawingml/2006/main">
                  <a:graphicData uri="http://schemas.microsoft.com/office/word/2010/wordprocessingShape">
                    <wps:wsp>
                      <wps:cNvSpPr/>
                      <wps:spPr>
                        <a:xfrm>
                          <a:off x="0" y="0"/>
                          <a:ext cx="6795654" cy="325581"/>
                        </a:xfrm>
                        <a:prstGeom prst="rect">
                          <a:avLst/>
                        </a:prstGeom>
                        <a:solidFill>
                          <a:srgbClr val="005BB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C895E9" w14:textId="72B2F327" w:rsidR="008368B5" w:rsidRPr="008368B5" w:rsidRDefault="008368B5" w:rsidP="008368B5">
                            <w:pPr>
                              <w:rPr>
                                <w:rFonts w:ascii="Arial" w:hAnsi="Arial" w:cs="Arial"/>
                                <w:b/>
                                <w:bCs/>
                                <w:sz w:val="32"/>
                                <w:szCs w:val="32"/>
                              </w:rPr>
                            </w:pPr>
                            <w:r>
                              <w:rPr>
                                <w:rFonts w:ascii="Arial" w:hAnsi="Arial" w:cs="Arial"/>
                                <w:b/>
                                <w:bCs/>
                                <w:sz w:val="32"/>
                                <w:szCs w:val="32"/>
                              </w:rPr>
                              <w:t>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635E4" id="Rectangle 7" o:spid="_x0000_s1028" style="position:absolute;margin-left:0;margin-top:0;width:535.1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" fillcolor="#005bbb" strokecolor="#0d395d [1604]" strokeweight="1pt">
                <v:textbox>
                  <w:txbxContent>
                    <w:p w14:paraId="0DC895E9" w14:textId="72B2F327" w:rsidR="008368B5" w:rsidRPr="008368B5" w:rsidRDefault="008368B5" w:rsidP="008368B5">
                      <w:pPr>
                        <w:rPr>
                          <w:rFonts w:ascii="Arial" w:hAnsi="Arial" w:cs="Arial"/>
                          <w:b/>
                          <w:bCs/>
                          <w:sz w:val="32"/>
                          <w:szCs w:val="32"/>
                        </w:rPr>
                      </w:pPr>
                      <w:r>
                        <w:rPr>
                          <w:rFonts w:ascii="Arial" w:hAnsi="Arial" w:cs="Arial"/>
                          <w:b/>
                          <w:bCs/>
                          <w:sz w:val="32"/>
                          <w:szCs w:val="32"/>
                        </w:rPr>
                        <w:t>Standards</w:t>
                      </w:r>
                    </w:p>
                  </w:txbxContent>
                </v:textbox>
              </v:rect>
            </w:pict>
          </mc:Fallback>
        </mc:AlternateContent>
      </w:r>
    </w:p>
    <w:p w14:paraId="6FFAA1A0" w14:textId="77777777" w:rsidR="00AE0435" w:rsidRPr="00AE0435" w:rsidRDefault="00AE0435" w:rsidP="00EE428D">
      <w:pPr>
        <w:widowControl/>
        <w:autoSpaceDE/>
        <w:autoSpaceDN/>
        <w:adjustRightInd/>
        <w:spacing w:after="120"/>
        <w:rPr>
          <w:rFonts w:ascii="Arial" w:eastAsia="Calibri" w:hAnsi="Arial" w:cs="Arial"/>
          <w:b/>
          <w:bCs/>
          <w:color w:val="005BBB"/>
          <w:sz w:val="2"/>
          <w:szCs w:val="2"/>
        </w:rPr>
      </w:pPr>
    </w:p>
    <w:p w14:paraId="370AC454" w14:textId="77777777" w:rsidR="008368B5" w:rsidRDefault="008368B5" w:rsidP="00EE428D">
      <w:pPr>
        <w:widowControl/>
        <w:autoSpaceDE/>
        <w:autoSpaceDN/>
        <w:adjustRightInd/>
        <w:spacing w:after="120"/>
        <w:rPr>
          <w:rFonts w:ascii="Arial" w:eastAsia="Calibri" w:hAnsi="Arial" w:cs="Arial"/>
          <w:b/>
          <w:bCs/>
          <w:color w:val="005BBB"/>
          <w:sz w:val="24"/>
          <w:szCs w:val="24"/>
        </w:rPr>
      </w:pPr>
    </w:p>
    <w:p w14:paraId="125A8255" w14:textId="562726DD" w:rsidR="00580A9B" w:rsidRPr="00580A9B" w:rsidRDefault="00580A9B" w:rsidP="00793AEE">
      <w:pPr>
        <w:widowControl/>
        <w:autoSpaceDE/>
        <w:autoSpaceDN/>
        <w:adjustRightInd/>
        <w:spacing w:after="120"/>
        <w:rPr>
          <w:rFonts w:ascii="Arial" w:eastAsia="Calibri" w:hAnsi="Arial" w:cs="Arial"/>
          <w:b/>
          <w:bCs/>
          <w:color w:val="005BBB"/>
          <w:sz w:val="24"/>
          <w:szCs w:val="24"/>
        </w:rPr>
      </w:pPr>
      <w:r w:rsidRPr="00580A9B">
        <w:rPr>
          <w:rFonts w:ascii="Arial" w:eastAsia="Calibri" w:hAnsi="Arial" w:cs="Arial"/>
          <w:b/>
          <w:bCs/>
          <w:color w:val="005BBB"/>
          <w:sz w:val="24"/>
          <w:szCs w:val="24"/>
        </w:rPr>
        <w:t xml:space="preserve">SAS No. 134, </w:t>
      </w:r>
      <w:r w:rsidRPr="00580A9B">
        <w:rPr>
          <w:rFonts w:ascii="Arial" w:eastAsia="Calibri" w:hAnsi="Arial" w:cs="Arial"/>
          <w:b/>
          <w:bCs/>
          <w:i/>
          <w:iCs/>
          <w:color w:val="005BBB"/>
          <w:sz w:val="24"/>
          <w:szCs w:val="24"/>
        </w:rPr>
        <w:t>Auditor Reporting and Amendments, Including Amendments Addressing Disclosures in the Audit of Financial Statements</w:t>
      </w:r>
      <w:r w:rsidRPr="00580A9B">
        <w:rPr>
          <w:rFonts w:ascii="Arial" w:eastAsia="Calibri" w:hAnsi="Arial" w:cs="Arial"/>
          <w:b/>
          <w:bCs/>
          <w:color w:val="005BBB"/>
          <w:sz w:val="24"/>
          <w:szCs w:val="24"/>
        </w:rPr>
        <w:t>, as amended</w:t>
      </w:r>
    </w:p>
    <w:p w14:paraId="382C1852" w14:textId="6322F90A" w:rsidR="00456A37" w:rsidRDefault="00580A9B" w:rsidP="00793AEE">
      <w:pPr>
        <w:widowControl/>
        <w:autoSpaceDE/>
        <w:autoSpaceDN/>
        <w:adjustRightInd/>
        <w:spacing w:after="120"/>
        <w:rPr>
          <w:rFonts w:ascii="Arial" w:eastAsia="Calibri" w:hAnsi="Arial" w:cs="Arial"/>
        </w:rPr>
      </w:pPr>
      <w:r w:rsidRPr="00580A9B">
        <w:rPr>
          <w:rFonts w:ascii="Arial" w:eastAsia="Calibri" w:hAnsi="Arial" w:cs="Arial"/>
        </w:rPr>
        <w:t xml:space="preserve">Required implementation is right around the corner for Statement on Auditing Standards (SAS) No. 134, </w:t>
      </w:r>
      <w:r w:rsidRPr="00580A9B">
        <w:rPr>
          <w:rFonts w:ascii="Arial" w:eastAsia="Calibri" w:hAnsi="Arial" w:cs="Arial"/>
          <w:i/>
          <w:iCs/>
        </w:rPr>
        <w:t>Auditor Reporting and Amendments, Including Amendments Addressing Disclosures in the Audit of Financial Statements</w:t>
      </w:r>
      <w:r w:rsidRPr="00580A9B">
        <w:rPr>
          <w:rFonts w:ascii="Arial" w:eastAsia="Calibri" w:hAnsi="Arial" w:cs="Arial"/>
        </w:rPr>
        <w:t>. SAS No. 134, as amended, is effective for audits of financial statements for periods ending on or after December 15, 2021, with early implementation permitted.</w:t>
      </w:r>
    </w:p>
    <w:p w14:paraId="74E800DF" w14:textId="0A581DA8" w:rsidR="00580A9B" w:rsidRPr="00580A9B" w:rsidRDefault="00580A9B" w:rsidP="00793AEE">
      <w:pPr>
        <w:widowControl/>
        <w:autoSpaceDE/>
        <w:autoSpaceDN/>
        <w:adjustRightInd/>
        <w:spacing w:after="120"/>
        <w:rPr>
          <w:rFonts w:ascii="Arial" w:eastAsia="Calibri" w:hAnsi="Arial" w:cs="Arial"/>
        </w:rPr>
      </w:pPr>
      <w:r w:rsidRPr="00580A9B">
        <w:rPr>
          <w:rFonts w:ascii="Arial" w:eastAsia="Calibri" w:hAnsi="Arial" w:cs="Arial"/>
        </w:rPr>
        <w:t xml:space="preserve">SAS No. 134 replaces AU-C sections 700B, 705B and 706B and introduces a new section 701. SAS No. 134 contains the following sections: </w:t>
      </w:r>
    </w:p>
    <w:p w14:paraId="037664D9" w14:textId="2CFC3E25" w:rsidR="00580A9B" w:rsidRPr="00580A9B" w:rsidRDefault="00580A9B" w:rsidP="00793AEE">
      <w:pPr>
        <w:widowControl/>
        <w:numPr>
          <w:ilvl w:val="0"/>
          <w:numId w:val="39"/>
        </w:numPr>
        <w:autoSpaceDE/>
        <w:autoSpaceDN/>
        <w:adjustRightInd/>
        <w:spacing w:after="120"/>
        <w:rPr>
          <w:rFonts w:ascii="Arial" w:eastAsia="Calibri" w:hAnsi="Arial" w:cs="Arial"/>
        </w:rPr>
      </w:pPr>
      <w:r w:rsidRPr="00580A9B">
        <w:rPr>
          <w:rFonts w:ascii="Arial" w:eastAsia="Calibri" w:hAnsi="Arial" w:cs="Arial"/>
          <w:b/>
          <w:bCs/>
        </w:rPr>
        <w:t xml:space="preserve">Section 700, </w:t>
      </w:r>
      <w:r w:rsidRPr="00580A9B">
        <w:rPr>
          <w:rFonts w:ascii="Arial" w:eastAsia="Calibri" w:hAnsi="Arial" w:cs="Arial"/>
          <w:b/>
          <w:bCs/>
          <w:i/>
          <w:iCs/>
        </w:rPr>
        <w:t>Forming an Opinion and Reporting on Financial Statements</w:t>
      </w:r>
      <w:r w:rsidRPr="00580A9B">
        <w:rPr>
          <w:rFonts w:ascii="Arial" w:eastAsia="Calibri" w:hAnsi="Arial" w:cs="Arial"/>
        </w:rPr>
        <w:t xml:space="preserve">, codified in AU-C section 700 of AICPA </w:t>
      </w:r>
      <w:r w:rsidRPr="00580A9B">
        <w:rPr>
          <w:rFonts w:ascii="Arial" w:eastAsia="Calibri" w:hAnsi="Arial" w:cs="Arial"/>
          <w:i/>
          <w:iCs/>
        </w:rPr>
        <w:t>Professional Standards</w:t>
      </w:r>
      <w:r w:rsidRPr="00580A9B">
        <w:rPr>
          <w:rFonts w:ascii="Arial" w:eastAsia="Calibri" w:hAnsi="Arial" w:cs="Arial"/>
        </w:rPr>
        <w:t>, is the foundational section that addresses the auditor’s responsibility to form an opinion on the financial statements and prescribes the form and content of the auditor’s report when issuing an unmodified “clean” opinion. This section also includes an appendix of amendments to various AU-C sections relating to auditor reporting and disclosures.</w:t>
      </w:r>
    </w:p>
    <w:p w14:paraId="700799CB" w14:textId="6A8CADCE" w:rsidR="00580A9B" w:rsidRPr="00580A9B" w:rsidRDefault="00580A9B" w:rsidP="00793AEE">
      <w:pPr>
        <w:widowControl/>
        <w:numPr>
          <w:ilvl w:val="0"/>
          <w:numId w:val="39"/>
        </w:numPr>
        <w:autoSpaceDE/>
        <w:autoSpaceDN/>
        <w:adjustRightInd/>
        <w:spacing w:after="120"/>
        <w:contextualSpacing/>
        <w:rPr>
          <w:rFonts w:ascii="Arial" w:eastAsia="Calibri" w:hAnsi="Arial" w:cs="Arial"/>
        </w:rPr>
      </w:pPr>
      <w:r w:rsidRPr="00580A9B">
        <w:rPr>
          <w:rFonts w:ascii="Arial" w:eastAsia="Calibri" w:hAnsi="Arial" w:cs="Arial"/>
          <w:b/>
          <w:bCs/>
        </w:rPr>
        <w:t xml:space="preserve">Section 705, </w:t>
      </w:r>
      <w:r w:rsidRPr="00580A9B">
        <w:rPr>
          <w:rFonts w:ascii="Arial" w:eastAsia="Calibri" w:hAnsi="Arial" w:cs="Arial"/>
          <w:b/>
          <w:bCs/>
          <w:i/>
          <w:iCs/>
        </w:rPr>
        <w:t>Modifications to the Opinion in the Independent Auditor’s Report</w:t>
      </w:r>
      <w:r w:rsidRPr="00580A9B">
        <w:rPr>
          <w:rFonts w:ascii="Arial" w:eastAsia="Calibri" w:hAnsi="Arial" w:cs="Arial"/>
        </w:rPr>
        <w:t xml:space="preserve">, codified in AU-C section 705 of AICPA </w:t>
      </w:r>
      <w:r w:rsidRPr="00580A9B">
        <w:rPr>
          <w:rFonts w:ascii="Arial" w:eastAsia="Calibri" w:hAnsi="Arial" w:cs="Arial"/>
          <w:i/>
          <w:iCs/>
        </w:rPr>
        <w:t>Professional Standards</w:t>
      </w:r>
      <w:r w:rsidRPr="00580A9B">
        <w:rPr>
          <w:rFonts w:ascii="Arial" w:eastAsia="Calibri" w:hAnsi="Arial" w:cs="Arial"/>
        </w:rPr>
        <w:t xml:space="preserve">, addresses the form and content of the report when the auditor concludes that a clean auditor’s opinion in accordance with section 700 is not appropriate (qualified, adverse, or disclaimer of opinion). </w:t>
      </w:r>
    </w:p>
    <w:p w14:paraId="6EA3ED17" w14:textId="1CE11F97" w:rsidR="00580A9B" w:rsidRPr="00580A9B" w:rsidRDefault="00580A9B" w:rsidP="00793AEE">
      <w:pPr>
        <w:widowControl/>
        <w:numPr>
          <w:ilvl w:val="0"/>
          <w:numId w:val="39"/>
        </w:numPr>
        <w:autoSpaceDE/>
        <w:autoSpaceDN/>
        <w:adjustRightInd/>
        <w:spacing w:after="120"/>
        <w:contextualSpacing/>
        <w:rPr>
          <w:rFonts w:ascii="Arial" w:eastAsia="Calibri" w:hAnsi="Arial" w:cs="Arial"/>
        </w:rPr>
      </w:pPr>
      <w:r w:rsidRPr="00580A9B">
        <w:rPr>
          <w:rFonts w:ascii="Arial" w:eastAsia="Calibri" w:hAnsi="Arial" w:cs="Arial"/>
          <w:b/>
          <w:bCs/>
        </w:rPr>
        <w:t xml:space="preserve">Section 706, </w:t>
      </w:r>
      <w:r w:rsidRPr="00580A9B">
        <w:rPr>
          <w:rFonts w:ascii="Arial" w:eastAsia="Calibri" w:hAnsi="Arial" w:cs="Arial"/>
          <w:b/>
          <w:bCs/>
          <w:i/>
          <w:iCs/>
        </w:rPr>
        <w:t>Emphasis-of-Matter Paragraphs and Other-Matter Paragraphs in the Independent Auditor’s Report</w:t>
      </w:r>
      <w:r w:rsidRPr="00580A9B">
        <w:rPr>
          <w:rFonts w:ascii="Arial" w:eastAsia="Calibri" w:hAnsi="Arial" w:cs="Arial"/>
        </w:rPr>
        <w:t xml:space="preserve">, codified in AU-C section 706 of AICPA </w:t>
      </w:r>
      <w:r w:rsidRPr="00580A9B">
        <w:rPr>
          <w:rFonts w:ascii="Arial" w:eastAsia="Calibri" w:hAnsi="Arial" w:cs="Arial"/>
          <w:i/>
          <w:iCs/>
        </w:rPr>
        <w:t>Professional Standards</w:t>
      </w:r>
      <w:r w:rsidRPr="00580A9B">
        <w:rPr>
          <w:rFonts w:ascii="Arial" w:eastAsia="Calibri" w:hAnsi="Arial" w:cs="Arial"/>
        </w:rPr>
        <w:t xml:space="preserve">, addresses additional communications in the auditor’s report (emphasis-of-matter and other-matter paragraphs). </w:t>
      </w:r>
    </w:p>
    <w:p w14:paraId="36A7F368" w14:textId="69B637DA" w:rsidR="00456A37" w:rsidRDefault="00580A9B" w:rsidP="00793AEE">
      <w:pPr>
        <w:widowControl/>
        <w:numPr>
          <w:ilvl w:val="0"/>
          <w:numId w:val="39"/>
        </w:numPr>
        <w:autoSpaceDE/>
        <w:autoSpaceDN/>
        <w:adjustRightInd/>
        <w:spacing w:after="120"/>
        <w:rPr>
          <w:rFonts w:ascii="Arial" w:eastAsia="Calibri" w:hAnsi="Arial" w:cs="Arial"/>
        </w:rPr>
      </w:pPr>
      <w:r w:rsidRPr="00580A9B">
        <w:rPr>
          <w:rFonts w:ascii="Arial" w:eastAsia="Calibri" w:hAnsi="Arial" w:cs="Arial"/>
          <w:b/>
          <w:bCs/>
        </w:rPr>
        <w:t xml:space="preserve">New! Section 701, </w:t>
      </w:r>
      <w:r w:rsidRPr="00580A9B">
        <w:rPr>
          <w:rFonts w:ascii="Arial" w:eastAsia="Calibri" w:hAnsi="Arial" w:cs="Arial"/>
          <w:b/>
          <w:bCs/>
          <w:i/>
          <w:iCs/>
        </w:rPr>
        <w:t xml:space="preserve">Communicating Key Audit Matters in the Independent Auditor’s Report, </w:t>
      </w:r>
      <w:r w:rsidRPr="00580A9B">
        <w:rPr>
          <w:rFonts w:ascii="Arial" w:eastAsia="Calibri" w:hAnsi="Arial" w:cs="Arial"/>
        </w:rPr>
        <w:t xml:space="preserve">codified in AU-C section 701 of AICPA </w:t>
      </w:r>
      <w:r w:rsidRPr="00580A9B">
        <w:rPr>
          <w:rFonts w:ascii="Arial" w:eastAsia="Calibri" w:hAnsi="Arial" w:cs="Arial"/>
          <w:i/>
          <w:iCs/>
        </w:rPr>
        <w:t>Professional Standards</w:t>
      </w:r>
      <w:r w:rsidRPr="00580A9B">
        <w:rPr>
          <w:rFonts w:ascii="Arial" w:eastAsia="Calibri" w:hAnsi="Arial" w:cs="Arial"/>
        </w:rPr>
        <w:t>, addresses the auditor’s responsibility to communicate key audit matters (KAMs) in the auditor’s report when the auditor is engaged to do so. SAS No. 134, as amended, does NOT require the communication of KAMs.</w:t>
      </w:r>
    </w:p>
    <w:p w14:paraId="0B829DD5" w14:textId="174A53E2" w:rsidR="002A667B" w:rsidRPr="0092728A" w:rsidRDefault="00580A9B" w:rsidP="00793AEE">
      <w:pPr>
        <w:widowControl/>
        <w:autoSpaceDE/>
        <w:autoSpaceDN/>
        <w:adjustRightInd/>
        <w:spacing w:after="120"/>
        <w:rPr>
          <w:rFonts w:ascii="Arial" w:eastAsia="Calibri" w:hAnsi="Arial" w:cs="Arial"/>
        </w:rPr>
      </w:pPr>
      <w:r w:rsidRPr="00580A9B">
        <w:rPr>
          <w:rFonts w:ascii="Arial" w:eastAsia="Calibri" w:hAnsi="Arial" w:cs="Arial"/>
        </w:rPr>
        <w:t>In addition to the auditor reporting content, SAS No. 134, as amended, also amends various AU-C sections to focus auditor attention on disclosures throughout the audit process</w:t>
      </w:r>
      <w:r w:rsidR="00456A37">
        <w:rPr>
          <w:rFonts w:ascii="Arial" w:eastAsia="Calibri" w:hAnsi="Arial" w:cs="Arial"/>
        </w:rPr>
        <w:t xml:space="preserve"> </w:t>
      </w:r>
      <w:r w:rsidRPr="00580A9B">
        <w:rPr>
          <w:rFonts w:ascii="Arial" w:eastAsia="Calibri" w:hAnsi="Arial" w:cs="Arial"/>
        </w:rPr>
        <w:t>AICPA staff has prepared an “</w:t>
      </w:r>
      <w:hyperlink r:id="rId20" w:history="1">
        <w:r w:rsidRPr="00580A9B">
          <w:rPr>
            <w:rFonts w:ascii="Arial" w:eastAsia="Calibri" w:hAnsi="Arial" w:cs="Arial"/>
            <w:color w:val="0046AD"/>
            <w:u w:val="single"/>
          </w:rPr>
          <w:t>At a glance</w:t>
        </w:r>
      </w:hyperlink>
      <w:r w:rsidRPr="00580A9B">
        <w:rPr>
          <w:rFonts w:ascii="Arial" w:eastAsia="Calibri" w:hAnsi="Arial" w:cs="Arial"/>
        </w:rPr>
        <w:t xml:space="preserve">” </w:t>
      </w:r>
      <w:hyperlink r:id="rId21" w:history="1">
        <w:r w:rsidRPr="00580A9B">
          <w:rPr>
            <w:rFonts w:ascii="Arial" w:eastAsia="Calibri" w:hAnsi="Arial" w:cs="Arial"/>
          </w:rPr>
          <w:t>document</w:t>
        </w:r>
      </w:hyperlink>
      <w:r w:rsidRPr="00580A9B">
        <w:rPr>
          <w:rFonts w:ascii="Arial" w:eastAsia="Calibri" w:hAnsi="Arial" w:cs="Arial"/>
        </w:rPr>
        <w:t xml:space="preserve"> to provide a detailed summary of the standard.</w:t>
      </w:r>
    </w:p>
    <w:p w14:paraId="6D95722E" w14:textId="582ABD4F" w:rsidR="00456A37" w:rsidRPr="0092728A" w:rsidRDefault="00DF6994" w:rsidP="00793AEE">
      <w:pPr>
        <w:widowControl/>
        <w:autoSpaceDE/>
        <w:autoSpaceDN/>
        <w:adjustRightInd/>
        <w:spacing w:after="120"/>
        <w:rPr>
          <w:rFonts w:ascii="Arial" w:eastAsia="Calibri" w:hAnsi="Arial" w:cs="Arial"/>
          <w:b/>
          <w:bCs/>
          <w:color w:val="005BBB"/>
          <w:sz w:val="24"/>
          <w:szCs w:val="24"/>
        </w:rPr>
      </w:pPr>
      <w:r w:rsidRPr="00DF6994">
        <w:rPr>
          <w:rFonts w:ascii="Arial" w:eastAsia="Calibri" w:hAnsi="Arial" w:cs="Arial"/>
          <w:b/>
          <w:bCs/>
          <w:color w:val="005BBB"/>
          <w:sz w:val="24"/>
          <w:szCs w:val="24"/>
        </w:rPr>
        <w:t xml:space="preserve">SAS No. 136, </w:t>
      </w:r>
      <w:r w:rsidRPr="00DF6994">
        <w:rPr>
          <w:rFonts w:ascii="Arial" w:eastAsia="Calibri" w:hAnsi="Arial" w:cs="Arial"/>
          <w:b/>
          <w:bCs/>
          <w:i/>
          <w:iCs/>
          <w:color w:val="005BBB"/>
          <w:sz w:val="24"/>
          <w:szCs w:val="24"/>
        </w:rPr>
        <w:t>Forming an Opinion and Reporting on Financial Statements of Employee Benefit Plans Subject to ERISA</w:t>
      </w:r>
      <w:r w:rsidRPr="00DF6994">
        <w:rPr>
          <w:rFonts w:ascii="Arial" w:eastAsia="Calibri" w:hAnsi="Arial" w:cs="Arial"/>
          <w:b/>
          <w:bCs/>
          <w:color w:val="005BBB"/>
          <w:sz w:val="24"/>
          <w:szCs w:val="24"/>
        </w:rPr>
        <w:t>, as amended</w:t>
      </w:r>
    </w:p>
    <w:p w14:paraId="2A892339" w14:textId="07E82814" w:rsidR="00DF6994" w:rsidRPr="00DF6994" w:rsidRDefault="00DF6994" w:rsidP="00793AEE">
      <w:pPr>
        <w:widowControl/>
        <w:autoSpaceDE/>
        <w:autoSpaceDN/>
        <w:adjustRightInd/>
        <w:spacing w:after="120"/>
        <w:rPr>
          <w:rFonts w:ascii="Arial" w:eastAsia="Calibri" w:hAnsi="Arial" w:cs="Arial"/>
          <w:b/>
          <w:bCs/>
          <w:color w:val="005BBB"/>
        </w:rPr>
      </w:pPr>
      <w:r w:rsidRPr="00DF6994">
        <w:rPr>
          <w:rFonts w:ascii="Arial" w:eastAsia="Calibri" w:hAnsi="Arial" w:cs="Arial"/>
        </w:rPr>
        <w:t xml:space="preserve">Statement on Auditing Standards (SAS) No. 136, </w:t>
      </w:r>
      <w:r w:rsidRPr="00DF6994">
        <w:rPr>
          <w:rFonts w:ascii="Arial" w:eastAsia="Calibri" w:hAnsi="Arial" w:cs="Arial"/>
          <w:i/>
          <w:iCs/>
        </w:rPr>
        <w:t>Forming an Opinion and Reporting on Financial Statements of Employee Benefit Plans Subject to ERISA</w:t>
      </w:r>
      <w:r w:rsidRPr="00DF6994">
        <w:rPr>
          <w:rFonts w:ascii="Arial" w:eastAsia="Calibri" w:hAnsi="Arial" w:cs="Arial"/>
        </w:rPr>
        <w:t xml:space="preserve"> (EBP SAS), as amended, is effective for audits of financial statements for periods ending on or after December 15, 2021. Early implementation is permitted. The EBP SAS prescribes certain new performance requirements for an audit of financial statements of employee benefit plans subject to the Employee Retirement Income Security Act of 1974 (ERISA) and changes the form and content of the related auditor’s report. It should not be adapted for plans that are not subject to ERISA. The EBP SAS, as amended, has been codified in new AU-C section 703 of the AICPA </w:t>
      </w:r>
      <w:r w:rsidRPr="00DF6994">
        <w:rPr>
          <w:rFonts w:ascii="Arial" w:eastAsia="Calibri" w:hAnsi="Arial" w:cs="Arial"/>
          <w:i/>
          <w:iCs/>
        </w:rPr>
        <w:t>Professional Standards</w:t>
      </w:r>
      <w:r w:rsidRPr="00DF6994">
        <w:rPr>
          <w:rFonts w:ascii="Arial" w:eastAsia="Calibri" w:hAnsi="Arial" w:cs="Arial"/>
        </w:rPr>
        <w:t>.</w:t>
      </w:r>
    </w:p>
    <w:p w14:paraId="6A190990" w14:textId="123B9420" w:rsidR="00DF6994" w:rsidRPr="00DF6994" w:rsidRDefault="00DF6994" w:rsidP="00793AEE">
      <w:pPr>
        <w:widowControl/>
        <w:autoSpaceDE/>
        <w:autoSpaceDN/>
        <w:adjustRightInd/>
        <w:spacing w:after="120"/>
        <w:jc w:val="both"/>
        <w:rPr>
          <w:rFonts w:ascii="Arial" w:eastAsia="Calibri" w:hAnsi="Arial" w:cs="Arial"/>
        </w:rPr>
      </w:pPr>
      <w:r w:rsidRPr="00DF6994">
        <w:rPr>
          <w:rFonts w:ascii="Arial" w:eastAsia="Calibri" w:hAnsi="Arial" w:cs="Arial"/>
        </w:rPr>
        <w:t xml:space="preserve">The EBP SAS, as amended, specifically addresses requirements for: </w:t>
      </w:r>
    </w:p>
    <w:p w14:paraId="5D90BA91" w14:textId="73933C67" w:rsidR="00DF6994" w:rsidRPr="00DF6994" w:rsidRDefault="00DF6994" w:rsidP="00793AEE">
      <w:pPr>
        <w:widowControl/>
        <w:numPr>
          <w:ilvl w:val="0"/>
          <w:numId w:val="40"/>
        </w:numPr>
        <w:autoSpaceDE/>
        <w:autoSpaceDN/>
        <w:adjustRightInd/>
        <w:spacing w:after="120"/>
        <w:contextualSpacing/>
        <w:jc w:val="both"/>
        <w:rPr>
          <w:rFonts w:ascii="Arial" w:eastAsia="Calibri" w:hAnsi="Arial" w:cs="Arial"/>
        </w:rPr>
      </w:pPr>
      <w:r w:rsidRPr="00DF6994">
        <w:rPr>
          <w:rFonts w:ascii="Arial" w:eastAsia="Calibri" w:hAnsi="Arial" w:cs="Arial"/>
        </w:rPr>
        <w:t xml:space="preserve">Engagement acceptance </w:t>
      </w:r>
    </w:p>
    <w:p w14:paraId="1452440A" w14:textId="53895388" w:rsidR="00DF6994" w:rsidRPr="00DF6994" w:rsidRDefault="00DF6994" w:rsidP="00793AEE">
      <w:pPr>
        <w:widowControl/>
        <w:numPr>
          <w:ilvl w:val="0"/>
          <w:numId w:val="40"/>
        </w:numPr>
        <w:autoSpaceDE/>
        <w:autoSpaceDN/>
        <w:adjustRightInd/>
        <w:spacing w:after="120"/>
        <w:contextualSpacing/>
        <w:jc w:val="both"/>
        <w:rPr>
          <w:rFonts w:ascii="Arial" w:eastAsia="Calibri" w:hAnsi="Arial" w:cs="Arial"/>
        </w:rPr>
      </w:pPr>
      <w:r w:rsidRPr="00DF6994">
        <w:rPr>
          <w:rFonts w:ascii="Arial" w:eastAsia="Calibri" w:hAnsi="Arial" w:cs="Arial"/>
        </w:rPr>
        <w:t xml:space="preserve">Audit risk assessment and response, including the auditor’s consideration of relevant plan provisions </w:t>
      </w:r>
    </w:p>
    <w:p w14:paraId="3308F4AC" w14:textId="744D3145" w:rsidR="00DF6994" w:rsidRPr="00DF6994" w:rsidRDefault="00DF6994" w:rsidP="00793AEE">
      <w:pPr>
        <w:widowControl/>
        <w:numPr>
          <w:ilvl w:val="0"/>
          <w:numId w:val="40"/>
        </w:numPr>
        <w:autoSpaceDE/>
        <w:autoSpaceDN/>
        <w:adjustRightInd/>
        <w:spacing w:after="120"/>
        <w:contextualSpacing/>
        <w:jc w:val="both"/>
        <w:rPr>
          <w:rFonts w:ascii="Arial" w:eastAsia="Calibri" w:hAnsi="Arial" w:cs="Arial"/>
        </w:rPr>
      </w:pPr>
      <w:r w:rsidRPr="00DF6994">
        <w:rPr>
          <w:rFonts w:ascii="Arial" w:eastAsia="Calibri" w:hAnsi="Arial" w:cs="Arial"/>
        </w:rPr>
        <w:t xml:space="preserve">Communications of reportable findings with those charged with governance </w:t>
      </w:r>
    </w:p>
    <w:p w14:paraId="799F376F" w14:textId="03C18AE6" w:rsidR="00DF6994" w:rsidRPr="00DF6994" w:rsidRDefault="00DF6994" w:rsidP="00793AEE">
      <w:pPr>
        <w:widowControl/>
        <w:numPr>
          <w:ilvl w:val="0"/>
          <w:numId w:val="40"/>
        </w:numPr>
        <w:autoSpaceDE/>
        <w:autoSpaceDN/>
        <w:adjustRightInd/>
        <w:spacing w:after="120"/>
        <w:contextualSpacing/>
        <w:jc w:val="both"/>
        <w:rPr>
          <w:rFonts w:ascii="Arial" w:eastAsia="Calibri" w:hAnsi="Arial" w:cs="Arial"/>
        </w:rPr>
      </w:pPr>
      <w:r w:rsidRPr="00DF6994">
        <w:rPr>
          <w:rFonts w:ascii="Arial" w:eastAsia="Calibri" w:hAnsi="Arial" w:cs="Arial"/>
        </w:rPr>
        <w:t>The auditor’s responsibilities relating to the ERISA-required supplemental schedules and the Form 5500</w:t>
      </w:r>
    </w:p>
    <w:p w14:paraId="11F806D7" w14:textId="4269E249" w:rsidR="00456A37" w:rsidRPr="00DF6994" w:rsidRDefault="00DF6994" w:rsidP="00793AEE">
      <w:pPr>
        <w:widowControl/>
        <w:numPr>
          <w:ilvl w:val="0"/>
          <w:numId w:val="40"/>
        </w:numPr>
        <w:autoSpaceDE/>
        <w:autoSpaceDN/>
        <w:adjustRightInd/>
        <w:spacing w:after="120"/>
        <w:jc w:val="both"/>
        <w:rPr>
          <w:rFonts w:ascii="Arial" w:eastAsia="Calibri" w:hAnsi="Arial" w:cs="Arial"/>
        </w:rPr>
      </w:pPr>
      <w:r w:rsidRPr="00DF6994">
        <w:rPr>
          <w:rFonts w:ascii="Arial" w:eastAsia="Calibri" w:hAnsi="Arial" w:cs="Arial"/>
        </w:rPr>
        <w:t>The form and content of the related auditor’s report</w:t>
      </w:r>
    </w:p>
    <w:p w14:paraId="20D3462A" w14:textId="0A412EC6" w:rsidR="00DF6994" w:rsidRPr="00DF6994" w:rsidRDefault="00DF6994" w:rsidP="00793AEE">
      <w:pPr>
        <w:widowControl/>
        <w:autoSpaceDE/>
        <w:autoSpaceDN/>
        <w:adjustRightInd/>
        <w:spacing w:after="120"/>
        <w:jc w:val="both"/>
        <w:rPr>
          <w:rFonts w:ascii="Arial" w:eastAsia="Calibri" w:hAnsi="Arial" w:cs="Arial"/>
        </w:rPr>
      </w:pPr>
      <w:r w:rsidRPr="00DF6994">
        <w:rPr>
          <w:rFonts w:ascii="Arial" w:eastAsia="Calibri" w:hAnsi="Arial" w:cs="Arial"/>
        </w:rPr>
        <w:t>Formerly referred to as a “limited-scope audit,” the EBP SAS refers to this type of audit as an “ERISA section 103(a)(3)(C) audit.” The EBP SAS clarifies what is expected of the auditor, including specific procedures when performing an ERISA section 103(a)(3)(C) audit, and establishes a new form of report that provides greater transparency about the scope and nature of the audit and describes the procedures performed on the certified investment information.</w:t>
      </w:r>
    </w:p>
    <w:p w14:paraId="0FFA305B" w14:textId="160EE499" w:rsidR="0022328D" w:rsidRPr="0022328D" w:rsidRDefault="00DF6994" w:rsidP="00793AEE">
      <w:pPr>
        <w:widowControl/>
        <w:autoSpaceDE/>
        <w:autoSpaceDN/>
        <w:adjustRightInd/>
        <w:spacing w:after="120"/>
        <w:rPr>
          <w:rFonts w:ascii="Arial" w:eastAsia="Calibri" w:hAnsi="Arial" w:cs="Arial"/>
          <w:b/>
        </w:rPr>
      </w:pPr>
      <w:r w:rsidRPr="00DF6994">
        <w:rPr>
          <w:rFonts w:ascii="Arial" w:eastAsia="Calibri" w:hAnsi="Arial" w:cs="Arial"/>
          <w:b/>
        </w:rPr>
        <w:lastRenderedPageBreak/>
        <w:t>New FAQ for E</w:t>
      </w:r>
      <w:r w:rsidR="006F747A">
        <w:rPr>
          <w:rFonts w:ascii="Arial" w:eastAsia="Calibri" w:hAnsi="Arial" w:cs="Arial"/>
          <w:b/>
        </w:rPr>
        <w:t>BP</w:t>
      </w:r>
      <w:r w:rsidRPr="00DF6994">
        <w:rPr>
          <w:rFonts w:ascii="Arial" w:eastAsia="Calibri" w:hAnsi="Arial" w:cs="Arial"/>
          <w:b/>
        </w:rPr>
        <w:t xml:space="preserve"> Auditors</w:t>
      </w:r>
    </w:p>
    <w:p w14:paraId="24699BAF" w14:textId="704ADD74" w:rsidR="004A1B81" w:rsidRPr="0092728A" w:rsidRDefault="00DF6994" w:rsidP="00793AEE">
      <w:pPr>
        <w:widowControl/>
        <w:autoSpaceDE/>
        <w:autoSpaceDN/>
        <w:adjustRightInd/>
        <w:spacing w:after="120"/>
        <w:rPr>
          <w:rFonts w:ascii="Arial" w:eastAsia="Calibri" w:hAnsi="Arial" w:cs="Arial"/>
          <w:b/>
          <w:color w:val="005BBB"/>
        </w:rPr>
      </w:pPr>
      <w:r w:rsidRPr="00DF6994">
        <w:rPr>
          <w:rFonts w:ascii="Arial" w:eastAsia="Calibri" w:hAnsi="Arial" w:cs="Arial"/>
          <w:bCs/>
        </w:rPr>
        <w:t>In September 2021, the AICPA issued</w:t>
      </w:r>
      <w:r w:rsidRPr="00DF6994">
        <w:rPr>
          <w:rFonts w:ascii="Arial" w:eastAsia="Calibri" w:hAnsi="Arial" w:cs="Arial"/>
          <w:b/>
        </w:rPr>
        <w:t xml:space="preserve"> </w:t>
      </w:r>
      <w:r w:rsidRPr="00DF6994">
        <w:rPr>
          <w:rFonts w:ascii="Arial" w:eastAsia="Calibri" w:hAnsi="Arial" w:cs="Arial"/>
        </w:rPr>
        <w:t xml:space="preserve">a new resource for auditors of ERISA plan financial statements. The </w:t>
      </w:r>
      <w:hyperlink r:id="rId22" w:history="1">
        <w:r w:rsidRPr="00D15BA1">
          <w:rPr>
            <w:rFonts w:ascii="Arial" w:eastAsia="Calibri" w:hAnsi="Arial" w:cs="Arial"/>
            <w:i/>
            <w:iCs/>
            <w:color w:val="2E72FF" w:themeColor="text2" w:themeTint="80"/>
            <w:u w:val="single"/>
          </w:rPr>
          <w:t>Employee Benefit Plans Industry FAQ with Illustrative Auditor’s Reports for Initial Year of Implementation of SAS No. 136, as Amended</w:t>
        </w:r>
      </w:hyperlink>
      <w:r w:rsidRPr="00D15BA1">
        <w:rPr>
          <w:rFonts w:ascii="Arial" w:eastAsia="Calibri" w:hAnsi="Arial" w:cs="Arial"/>
          <w:color w:val="2E72FF" w:themeColor="text2" w:themeTint="80"/>
        </w:rPr>
        <w:t>,</w:t>
      </w:r>
      <w:r w:rsidRPr="00DF6994">
        <w:rPr>
          <w:rFonts w:ascii="Arial" w:eastAsia="Calibri" w:hAnsi="Arial" w:cs="Arial"/>
        </w:rPr>
        <w:t xml:space="preserve"> provides nonauthoritative guidance on auditor’s reports for the initial implementation year of the SAS No. 136, as amended. Because ERISA requires the presentation of certain comparative financial statements, this resource provides the auditor with illustrations and options for reporting during the implementation year of SAS No. 136, as amended. </w:t>
      </w:r>
    </w:p>
    <w:p w14:paraId="48F70015" w14:textId="37056ACF" w:rsidR="00493786" w:rsidRPr="00493786" w:rsidRDefault="00493786" w:rsidP="00793AEE">
      <w:pPr>
        <w:widowControl/>
        <w:autoSpaceDE/>
        <w:autoSpaceDN/>
        <w:adjustRightInd/>
        <w:spacing w:after="120"/>
        <w:rPr>
          <w:rFonts w:ascii="Arial" w:eastAsia="Calibri" w:hAnsi="Arial" w:cs="Arial"/>
          <w:b/>
          <w:bCs/>
          <w:color w:val="005BBB"/>
          <w:sz w:val="24"/>
          <w:szCs w:val="24"/>
        </w:rPr>
      </w:pPr>
      <w:r w:rsidRPr="00493786">
        <w:rPr>
          <w:rFonts w:ascii="Arial" w:eastAsia="Calibri" w:hAnsi="Arial" w:cs="Arial"/>
          <w:b/>
          <w:bCs/>
          <w:color w:val="005BBB"/>
          <w:sz w:val="24"/>
          <w:szCs w:val="24"/>
        </w:rPr>
        <w:t xml:space="preserve">Upcoming </w:t>
      </w:r>
      <w:r w:rsidR="001610D0">
        <w:rPr>
          <w:rFonts w:ascii="Arial" w:eastAsia="Calibri" w:hAnsi="Arial" w:cs="Arial"/>
          <w:b/>
          <w:bCs/>
          <w:color w:val="005BBB"/>
          <w:sz w:val="24"/>
          <w:szCs w:val="24"/>
        </w:rPr>
        <w:t>accounting standards updates (</w:t>
      </w:r>
      <w:r w:rsidRPr="00493786">
        <w:rPr>
          <w:rFonts w:ascii="Arial" w:eastAsia="Calibri" w:hAnsi="Arial" w:cs="Arial"/>
          <w:b/>
          <w:bCs/>
          <w:color w:val="005BBB"/>
          <w:sz w:val="24"/>
          <w:szCs w:val="24"/>
        </w:rPr>
        <w:t>ASUs</w:t>
      </w:r>
      <w:r w:rsidR="001610D0">
        <w:rPr>
          <w:rFonts w:ascii="Arial" w:eastAsia="Calibri" w:hAnsi="Arial" w:cs="Arial"/>
          <w:b/>
          <w:bCs/>
          <w:color w:val="005BBB"/>
          <w:sz w:val="24"/>
          <w:szCs w:val="24"/>
        </w:rPr>
        <w:t>)</w:t>
      </w:r>
      <w:r w:rsidRPr="00493786">
        <w:rPr>
          <w:rFonts w:ascii="Arial" w:eastAsia="Calibri" w:hAnsi="Arial" w:cs="Arial"/>
          <w:b/>
          <w:bCs/>
          <w:color w:val="005BBB"/>
          <w:sz w:val="24"/>
          <w:szCs w:val="24"/>
        </w:rPr>
        <w:t xml:space="preserve"> not-for-profits</w:t>
      </w:r>
      <w:r w:rsidR="001610D0">
        <w:rPr>
          <w:rFonts w:ascii="Arial" w:eastAsia="Calibri" w:hAnsi="Arial" w:cs="Arial"/>
          <w:b/>
          <w:bCs/>
          <w:color w:val="005BBB"/>
          <w:sz w:val="24"/>
          <w:szCs w:val="24"/>
        </w:rPr>
        <w:t xml:space="preserve"> (NFPs)</w:t>
      </w:r>
      <w:r w:rsidRPr="00493786">
        <w:rPr>
          <w:rFonts w:ascii="Arial" w:eastAsia="Calibri" w:hAnsi="Arial" w:cs="Arial"/>
          <w:b/>
          <w:bCs/>
          <w:color w:val="005BBB"/>
          <w:sz w:val="24"/>
          <w:szCs w:val="24"/>
        </w:rPr>
        <w:t xml:space="preserve"> should be familiar with at the end of 2021</w:t>
      </w:r>
    </w:p>
    <w:p w14:paraId="7710353C" w14:textId="4227B7D7" w:rsidR="00493786" w:rsidRPr="00493786" w:rsidRDefault="00493786" w:rsidP="00793AEE">
      <w:pPr>
        <w:widowControl/>
        <w:autoSpaceDE/>
        <w:autoSpaceDN/>
        <w:adjustRightInd/>
        <w:spacing w:after="120"/>
        <w:rPr>
          <w:rFonts w:ascii="Arial" w:eastAsia="Calibri" w:hAnsi="Arial" w:cs="Arial"/>
          <w:color w:val="000000"/>
        </w:rPr>
      </w:pPr>
      <w:r w:rsidRPr="00493786">
        <w:rPr>
          <w:rFonts w:ascii="Arial" w:eastAsia="Calibri" w:hAnsi="Arial" w:cs="Arial"/>
          <w:color w:val="000000"/>
        </w:rPr>
        <w:t>The following is a summary of FASB ASUs</w:t>
      </w:r>
      <w:r w:rsidR="001610D0">
        <w:rPr>
          <w:rFonts w:ascii="Arial" w:eastAsia="Calibri" w:hAnsi="Arial" w:cs="Arial"/>
          <w:color w:val="000000"/>
        </w:rPr>
        <w:t xml:space="preserve"> </w:t>
      </w:r>
      <w:r w:rsidRPr="00493786">
        <w:rPr>
          <w:rFonts w:ascii="Arial" w:eastAsia="Calibri" w:hAnsi="Arial" w:cs="Arial"/>
          <w:color w:val="000000"/>
        </w:rPr>
        <w:t>with initial effective dates for most NFPs beginning in calendar-year 2021 and for 2020-2021 fiscal year-ends, or with effective dates that were deferred to 2021. Also</w:t>
      </w:r>
      <w:r w:rsidR="001610D0">
        <w:rPr>
          <w:rFonts w:ascii="Arial" w:eastAsia="Calibri" w:hAnsi="Arial" w:cs="Arial"/>
          <w:color w:val="000000"/>
        </w:rPr>
        <w:t>,</w:t>
      </w:r>
      <w:r w:rsidRPr="00493786">
        <w:rPr>
          <w:rFonts w:ascii="Arial" w:eastAsia="Calibri" w:hAnsi="Arial" w:cs="Arial"/>
          <w:color w:val="000000"/>
        </w:rPr>
        <w:t xml:space="preserve"> summarized are ASUs on the horizon with effective dates for most NFPs in 2022 and later. Additional information and guidance related to a number of these ASUs can be found in this AICPA </w:t>
      </w:r>
      <w:hyperlink r:id="rId23" w:history="1">
        <w:r w:rsidRPr="00D15BA1">
          <w:rPr>
            <w:rFonts w:ascii="Arial" w:eastAsia="Calibri" w:hAnsi="Arial" w:cs="Arial"/>
            <w:color w:val="2E72FF" w:themeColor="text2" w:themeTint="80"/>
            <w:u w:val="single"/>
          </w:rPr>
          <w:t>article</w:t>
        </w:r>
      </w:hyperlink>
      <w:r w:rsidRPr="00493786">
        <w:rPr>
          <w:rFonts w:ascii="Arial" w:eastAsia="Calibri" w:hAnsi="Arial" w:cs="Arial"/>
          <w:color w:val="000000"/>
        </w:rPr>
        <w:t>.</w:t>
      </w:r>
    </w:p>
    <w:p w14:paraId="43D72D3E" w14:textId="77777777" w:rsidR="00493786" w:rsidRPr="00493786" w:rsidRDefault="00493786" w:rsidP="00793AEE">
      <w:pPr>
        <w:widowControl/>
        <w:spacing w:after="120"/>
        <w:rPr>
          <w:rFonts w:ascii="Arial" w:eastAsia="Calibri" w:hAnsi="Arial" w:cs="Arial"/>
          <w:b/>
          <w:bCs/>
        </w:rPr>
      </w:pPr>
      <w:r w:rsidRPr="00493786">
        <w:rPr>
          <w:rFonts w:ascii="Arial" w:eastAsia="Calibri" w:hAnsi="Arial" w:cs="Arial"/>
          <w:b/>
          <w:bCs/>
        </w:rPr>
        <w:t xml:space="preserve">ASU No. 2020-04, </w:t>
      </w:r>
      <w:r w:rsidRPr="00493786">
        <w:rPr>
          <w:rFonts w:ascii="Arial" w:eastAsia="Calibri" w:hAnsi="Arial" w:cs="Arial"/>
          <w:b/>
          <w:bCs/>
          <w:i/>
          <w:iCs/>
        </w:rPr>
        <w:t>Reference Rate Reform (Topic 848): Facilitation of the Effects of Reference Rate Reform on Financial Reporting</w:t>
      </w:r>
    </w:p>
    <w:p w14:paraId="6D2DBB87" w14:textId="50984CCD" w:rsidR="00493786" w:rsidRPr="00493786" w:rsidRDefault="00493786" w:rsidP="00793AEE">
      <w:pPr>
        <w:widowControl/>
        <w:spacing w:after="120"/>
        <w:rPr>
          <w:rFonts w:ascii="Arial" w:eastAsia="Calibri" w:hAnsi="Arial" w:cs="Arial"/>
        </w:rPr>
      </w:pPr>
      <w:r w:rsidRPr="00493786">
        <w:rPr>
          <w:rFonts w:ascii="Arial" w:eastAsia="Calibri" w:hAnsi="Arial" w:cs="Arial"/>
        </w:rPr>
        <w:t xml:space="preserve">The new guidance on reference rate reform, also discussed in this related </w:t>
      </w:r>
      <w:hyperlink r:id="rId24" w:history="1">
        <w:r w:rsidRPr="00D15BA1">
          <w:rPr>
            <w:rFonts w:ascii="Arial" w:eastAsia="Calibri" w:hAnsi="Arial" w:cs="Arial"/>
            <w:i/>
            <w:iCs/>
            <w:color w:val="2E72FF" w:themeColor="text2" w:themeTint="80"/>
            <w:u w:val="single"/>
          </w:rPr>
          <w:t>Journal of Accountancy</w:t>
        </w:r>
        <w:r w:rsidRPr="00D15BA1">
          <w:rPr>
            <w:rFonts w:ascii="Arial" w:eastAsia="Calibri" w:hAnsi="Arial" w:cs="Arial"/>
            <w:color w:val="2E72FF" w:themeColor="text2" w:themeTint="80"/>
            <w:u w:val="single"/>
          </w:rPr>
          <w:t xml:space="preserve"> article</w:t>
        </w:r>
      </w:hyperlink>
      <w:r w:rsidRPr="00493786">
        <w:rPr>
          <w:rFonts w:ascii="Arial" w:eastAsia="Calibri" w:hAnsi="Arial" w:cs="Arial"/>
        </w:rPr>
        <w:t>, provides optional expedients and exceptions for applying GAAP to contract modifications and hedging relationships, subject to meeting certain criteria, that reference the London Interbank Offered Rate (LIBOR) or another reference rate expected to be discontinued. ASU No. 2020-04 is intended to help stakeholders during the global market-wide reference rate transition period. Therefore, it will be in effect for a limited time from March 12, 2020, through December 31, 2022. See also ASU No. 2021-01, discussed below, which serves to clarify the scope of Topic 848.</w:t>
      </w:r>
    </w:p>
    <w:p w14:paraId="0E800A54" w14:textId="77777777" w:rsidR="00493786" w:rsidRPr="00493786" w:rsidRDefault="00493786" w:rsidP="00793AEE">
      <w:pPr>
        <w:widowControl/>
        <w:autoSpaceDE/>
        <w:autoSpaceDN/>
        <w:adjustRightInd/>
        <w:spacing w:after="120"/>
        <w:rPr>
          <w:rFonts w:ascii="Arial" w:eastAsia="Calibri" w:hAnsi="Arial" w:cs="Arial"/>
          <w:b/>
          <w:bCs/>
          <w:color w:val="000000"/>
        </w:rPr>
      </w:pPr>
      <w:r w:rsidRPr="00493786">
        <w:rPr>
          <w:rFonts w:ascii="Arial" w:eastAsia="Calibri" w:hAnsi="Arial" w:cs="Arial"/>
          <w:b/>
          <w:bCs/>
          <w:color w:val="000000"/>
        </w:rPr>
        <w:t xml:space="preserve">ASU No. 2021-01, </w:t>
      </w:r>
      <w:r w:rsidRPr="00493786">
        <w:rPr>
          <w:rFonts w:ascii="Arial" w:eastAsia="Calibri" w:hAnsi="Arial" w:cs="Arial"/>
          <w:b/>
          <w:bCs/>
          <w:i/>
          <w:iCs/>
          <w:color w:val="000000"/>
        </w:rPr>
        <w:t>Reference Rate Reform (Topic 848): Scope</w:t>
      </w:r>
    </w:p>
    <w:p w14:paraId="167DE5CA" w14:textId="63FD4E87" w:rsidR="00493786" w:rsidRPr="00493786" w:rsidRDefault="00493786" w:rsidP="00793AEE">
      <w:pPr>
        <w:widowControl/>
        <w:autoSpaceDE/>
        <w:autoSpaceDN/>
        <w:adjustRightInd/>
        <w:spacing w:after="120"/>
        <w:rPr>
          <w:rFonts w:ascii="Arial" w:eastAsia="Calibri" w:hAnsi="Arial" w:cs="Arial"/>
          <w:color w:val="000000"/>
        </w:rPr>
      </w:pPr>
      <w:r w:rsidRPr="00493786">
        <w:rPr>
          <w:rFonts w:ascii="Arial" w:eastAsia="Calibri" w:hAnsi="Arial" w:cs="Arial"/>
          <w:color w:val="000000"/>
        </w:rPr>
        <w:t>This ASU was issued to improve clarity and operability with respect to the scope of Topic 848. The standard clarifies that contract modification relief may be applied to contracts that reference LIBOR or another reference rate expected to be discontinued as a result of reference rate reform and that are affected by the discounting transition. Additionally, it simplifies the hedge accounting relief by allowing the option to remove one or more derivative instruments that were added to a hedging instrument that is affected by the discontinuance of a reference rate without hedge de-designation. Consistent with ASU No. 2020-04 above, this standard is effective immediately for all entities, including NFPs, through December 31, 2022.</w:t>
      </w:r>
    </w:p>
    <w:p w14:paraId="76E53A57" w14:textId="77777777" w:rsidR="00493786" w:rsidRPr="00493786" w:rsidRDefault="00493786" w:rsidP="00793AEE">
      <w:pPr>
        <w:widowControl/>
        <w:spacing w:after="120"/>
        <w:rPr>
          <w:rFonts w:ascii="Arial" w:eastAsia="Calibri" w:hAnsi="Arial" w:cs="Arial"/>
          <w:b/>
          <w:bCs/>
        </w:rPr>
      </w:pPr>
      <w:r w:rsidRPr="00493786">
        <w:rPr>
          <w:rFonts w:ascii="Arial" w:eastAsia="Calibri" w:hAnsi="Arial" w:cs="Arial"/>
          <w:b/>
          <w:bCs/>
        </w:rPr>
        <w:t xml:space="preserve">ASU No. 2018-08, </w:t>
      </w:r>
      <w:r w:rsidRPr="00493786">
        <w:rPr>
          <w:rFonts w:ascii="Arial" w:eastAsia="Calibri" w:hAnsi="Arial" w:cs="Arial"/>
          <w:b/>
          <w:bCs/>
          <w:i/>
          <w:iCs/>
        </w:rPr>
        <w:t>Not-For-Profit Entities (Topic 958): Clarifying the Scope and Accounting Guidance for Contributions Received and Contributions Made</w:t>
      </w:r>
    </w:p>
    <w:p w14:paraId="52FC1224" w14:textId="77777777" w:rsidR="00493786" w:rsidRPr="00493786" w:rsidRDefault="00493786" w:rsidP="00793AEE">
      <w:pPr>
        <w:widowControl/>
        <w:spacing w:after="120"/>
        <w:rPr>
          <w:rFonts w:ascii="Arial" w:eastAsia="Calibri" w:hAnsi="Arial" w:cs="Arial"/>
        </w:rPr>
      </w:pPr>
      <w:r w:rsidRPr="00493786">
        <w:rPr>
          <w:rFonts w:ascii="Arial" w:eastAsia="Calibri" w:hAnsi="Arial" w:cs="Arial"/>
        </w:rPr>
        <w:t>This ASU was effective for nonpublic entities for transactions in which the entity was a resource recipient for annual periods beginning after December 15, 2018. However, it was effective for nonpublic entities for transactions in which the entity is the resource provider (i.e., the contributions made portion of the standard) for annual periods beginning after December 15, 2019. Therefore, NFPs may be adopting ASU No. 2018-08 for certain transactions during 2020-2021 fiscal year-ends. Implementation tools and guidance are available through the AICPA Not-for-Profit Resource Library:</w:t>
      </w:r>
    </w:p>
    <w:p w14:paraId="2B50D6B5" w14:textId="77777777" w:rsidR="00493786" w:rsidRPr="00D15BA1" w:rsidRDefault="00000CAE" w:rsidP="00D15BA1">
      <w:pPr>
        <w:widowControl/>
        <w:numPr>
          <w:ilvl w:val="0"/>
          <w:numId w:val="41"/>
        </w:numPr>
        <w:autoSpaceDE/>
        <w:autoSpaceDN/>
        <w:adjustRightInd/>
        <w:spacing w:after="0"/>
        <w:rPr>
          <w:rFonts w:ascii="Arial" w:eastAsia="Calibri" w:hAnsi="Arial" w:cs="Arial"/>
          <w:color w:val="2E72FF" w:themeColor="text2" w:themeTint="80"/>
        </w:rPr>
      </w:pPr>
      <w:hyperlink r:id="rId25" w:history="1">
        <w:r w:rsidR="00493786" w:rsidRPr="00D15BA1">
          <w:rPr>
            <w:rFonts w:ascii="Arial" w:eastAsia="Calibri" w:hAnsi="Arial" w:cs="Arial"/>
            <w:color w:val="2E72FF" w:themeColor="text2" w:themeTint="80"/>
            <w:u w:val="single"/>
          </w:rPr>
          <w:t>Overview</w:t>
        </w:r>
      </w:hyperlink>
    </w:p>
    <w:p w14:paraId="5749993F" w14:textId="77777777" w:rsidR="00493786" w:rsidRPr="00D15BA1" w:rsidRDefault="00000CAE" w:rsidP="00D15BA1">
      <w:pPr>
        <w:widowControl/>
        <w:numPr>
          <w:ilvl w:val="0"/>
          <w:numId w:val="41"/>
        </w:numPr>
        <w:autoSpaceDE/>
        <w:autoSpaceDN/>
        <w:adjustRightInd/>
        <w:spacing w:after="0"/>
        <w:rPr>
          <w:rFonts w:ascii="Arial" w:eastAsia="Calibri" w:hAnsi="Arial" w:cs="Arial"/>
          <w:color w:val="2E72FF" w:themeColor="text2" w:themeTint="80"/>
        </w:rPr>
      </w:pPr>
      <w:hyperlink r:id="rId26" w:history="1">
        <w:r w:rsidR="00493786" w:rsidRPr="00D15BA1">
          <w:rPr>
            <w:rFonts w:ascii="Arial" w:eastAsia="Calibri" w:hAnsi="Arial" w:cs="Arial"/>
            <w:color w:val="2E72FF" w:themeColor="text2" w:themeTint="80"/>
            <w:u w:val="single"/>
          </w:rPr>
          <w:t>Implementation tool</w:t>
        </w:r>
      </w:hyperlink>
    </w:p>
    <w:p w14:paraId="3D88E845" w14:textId="77777777" w:rsidR="00493786" w:rsidRPr="00D15BA1" w:rsidRDefault="00000CAE" w:rsidP="00D15BA1">
      <w:pPr>
        <w:widowControl/>
        <w:numPr>
          <w:ilvl w:val="0"/>
          <w:numId w:val="41"/>
        </w:numPr>
        <w:autoSpaceDE/>
        <w:autoSpaceDN/>
        <w:adjustRightInd/>
        <w:spacing w:after="0"/>
        <w:rPr>
          <w:rFonts w:ascii="Arial" w:eastAsia="Calibri" w:hAnsi="Arial" w:cs="Arial"/>
          <w:color w:val="2E72FF" w:themeColor="text2" w:themeTint="80"/>
        </w:rPr>
      </w:pPr>
      <w:hyperlink r:id="rId27" w:history="1">
        <w:r w:rsidR="00493786" w:rsidRPr="00D15BA1">
          <w:rPr>
            <w:rFonts w:ascii="Arial" w:eastAsia="Calibri" w:hAnsi="Arial" w:cs="Arial"/>
            <w:color w:val="2E72FF" w:themeColor="text2" w:themeTint="80"/>
            <w:u w:val="single"/>
          </w:rPr>
          <w:t>Archived webcast</w:t>
        </w:r>
      </w:hyperlink>
    </w:p>
    <w:p w14:paraId="48436580" w14:textId="77777777" w:rsidR="00493786" w:rsidRPr="00D15BA1" w:rsidRDefault="00000CAE" w:rsidP="00D15BA1">
      <w:pPr>
        <w:widowControl/>
        <w:numPr>
          <w:ilvl w:val="0"/>
          <w:numId w:val="41"/>
        </w:numPr>
        <w:autoSpaceDE/>
        <w:autoSpaceDN/>
        <w:adjustRightInd/>
        <w:spacing w:after="0"/>
        <w:rPr>
          <w:rFonts w:ascii="Arial" w:eastAsia="Calibri" w:hAnsi="Arial" w:cs="Arial"/>
          <w:color w:val="2E72FF" w:themeColor="text2" w:themeTint="80"/>
          <w:u w:val="single"/>
        </w:rPr>
      </w:pPr>
      <w:hyperlink r:id="rId28" w:history="1">
        <w:r w:rsidR="00493786" w:rsidRPr="00D15BA1">
          <w:rPr>
            <w:rFonts w:ascii="Arial" w:eastAsia="Calibri" w:hAnsi="Arial" w:cs="Arial"/>
            <w:color w:val="2E72FF" w:themeColor="text2" w:themeTint="80"/>
            <w:u w:val="single"/>
          </w:rPr>
          <w:t>Quiz</w:t>
        </w:r>
      </w:hyperlink>
    </w:p>
    <w:p w14:paraId="6BD67960" w14:textId="0832ABA5" w:rsidR="00701F89" w:rsidRDefault="00000CAE" w:rsidP="00D15BA1">
      <w:pPr>
        <w:widowControl/>
        <w:numPr>
          <w:ilvl w:val="0"/>
          <w:numId w:val="41"/>
        </w:numPr>
        <w:autoSpaceDE/>
        <w:autoSpaceDN/>
        <w:adjustRightInd/>
        <w:spacing w:after="0"/>
        <w:rPr>
          <w:rFonts w:ascii="Arial" w:eastAsia="Calibri" w:hAnsi="Arial" w:cs="Arial"/>
          <w:color w:val="2E72FF" w:themeColor="text2" w:themeTint="80"/>
          <w:u w:val="single"/>
        </w:rPr>
      </w:pPr>
      <w:hyperlink r:id="rId29" w:history="1">
        <w:r w:rsidR="00493786" w:rsidRPr="00D15BA1">
          <w:rPr>
            <w:rFonts w:ascii="Arial" w:eastAsia="Calibri" w:hAnsi="Arial" w:cs="Arial"/>
            <w:color w:val="2E72FF" w:themeColor="text2" w:themeTint="80"/>
            <w:u w:val="single"/>
          </w:rPr>
          <w:t>Sample disclosures for resource providers</w:t>
        </w:r>
      </w:hyperlink>
    </w:p>
    <w:p w14:paraId="1AEF7E55" w14:textId="77777777" w:rsidR="00D15BA1" w:rsidRPr="00D15BA1" w:rsidRDefault="00D15BA1" w:rsidP="00D15BA1">
      <w:pPr>
        <w:widowControl/>
        <w:autoSpaceDE/>
        <w:autoSpaceDN/>
        <w:adjustRightInd/>
        <w:spacing w:after="0"/>
        <w:ind w:left="720"/>
        <w:rPr>
          <w:rFonts w:ascii="Arial" w:eastAsia="Calibri" w:hAnsi="Arial" w:cs="Arial"/>
          <w:color w:val="2E72FF" w:themeColor="text2" w:themeTint="80"/>
          <w:u w:val="single"/>
        </w:rPr>
      </w:pPr>
    </w:p>
    <w:p w14:paraId="26F6B39E" w14:textId="7AC4D2C3" w:rsidR="00493786" w:rsidRPr="00493786" w:rsidRDefault="00493786" w:rsidP="00793AEE">
      <w:pPr>
        <w:widowControl/>
        <w:autoSpaceDE/>
        <w:autoSpaceDN/>
        <w:adjustRightInd/>
        <w:spacing w:after="120"/>
        <w:rPr>
          <w:rFonts w:ascii="Arial" w:eastAsia="Calibri" w:hAnsi="Arial" w:cs="Arial"/>
          <w:b/>
          <w:bCs/>
          <w:color w:val="000000"/>
        </w:rPr>
      </w:pPr>
      <w:r w:rsidRPr="00493786">
        <w:rPr>
          <w:rFonts w:ascii="Arial" w:eastAsia="Calibri" w:hAnsi="Arial" w:cs="Arial"/>
          <w:b/>
          <w:bCs/>
          <w:color w:val="000000"/>
        </w:rPr>
        <w:t xml:space="preserve">ASU No. 2020-05, </w:t>
      </w:r>
      <w:r w:rsidRPr="00493786">
        <w:rPr>
          <w:rFonts w:ascii="Arial" w:eastAsia="Calibri" w:hAnsi="Arial" w:cs="Arial"/>
          <w:b/>
          <w:bCs/>
          <w:i/>
          <w:iCs/>
          <w:color w:val="000000"/>
        </w:rPr>
        <w:t>Revenue from Contracts with Customers (Topic 606) and Leases (Topic 842): Effective Dates for Certain Entities</w:t>
      </w:r>
    </w:p>
    <w:p w14:paraId="26D79305" w14:textId="6DDEFAC3" w:rsidR="00493786" w:rsidRPr="00493786" w:rsidRDefault="00493786" w:rsidP="00793AEE">
      <w:pPr>
        <w:widowControl/>
        <w:autoSpaceDE/>
        <w:autoSpaceDN/>
        <w:adjustRightInd/>
        <w:spacing w:after="120"/>
        <w:rPr>
          <w:rFonts w:ascii="Arial" w:eastAsia="Calibri" w:hAnsi="Arial" w:cs="Arial"/>
          <w:color w:val="000000"/>
        </w:rPr>
      </w:pPr>
      <w:r w:rsidRPr="00493786">
        <w:rPr>
          <w:rFonts w:ascii="Arial" w:eastAsia="Calibri" w:hAnsi="Arial" w:cs="Arial"/>
          <w:color w:val="000000"/>
        </w:rPr>
        <w:t>This ASU was issued to delay the effective dates of two significant ASUs: revenue recognition (ASC 606) and leases (ASC 842). ASU No. 2020-05 permitted private companies and NFPs that had not yet applied the revenue recognition standard to do so for annual reporting periods beginning after December 15, 2019, and for interim reporting periods within annual reporting periods beginning after December 15, 2020. As a result, NFPs may be implementing ASC 606 during 2020-2021 fiscal year-ends.</w:t>
      </w:r>
    </w:p>
    <w:p w14:paraId="44ECBD5A" w14:textId="4A14908B" w:rsidR="00493786" w:rsidRPr="00493786" w:rsidRDefault="00493786" w:rsidP="00793AEE">
      <w:pPr>
        <w:widowControl/>
        <w:spacing w:after="120"/>
        <w:rPr>
          <w:rFonts w:ascii="Arial" w:eastAsia="Calibri" w:hAnsi="Arial" w:cs="Arial"/>
          <w:color w:val="000000"/>
        </w:rPr>
      </w:pPr>
      <w:r w:rsidRPr="00493786">
        <w:rPr>
          <w:rFonts w:ascii="Arial" w:eastAsia="Calibri" w:hAnsi="Arial" w:cs="Arial"/>
        </w:rPr>
        <w:lastRenderedPageBreak/>
        <w:t>ASU No. 2020-05 also permitted private companies, private NFPs, and public NFPs that had not yet issued (or made available) their financial statements reflecting the adoption of the leases standard to</w:t>
      </w:r>
      <w:r w:rsidRPr="00493786">
        <w:rPr>
          <w:rFonts w:ascii="Arial" w:eastAsia="Calibri" w:hAnsi="Arial" w:cs="Arial"/>
          <w:color w:val="000000"/>
        </w:rPr>
        <w:t xml:space="preserve"> apply the new standard for fiscal years beginning after December 15, 2021, and for interim periods within fiscal years beginning after December 15, 2022. As such, this ASU is effective for 2022 calendar year-ends and 2022-2023 fiscal year-ends. While the leases standard does not have required implementation dates in 2021, early application is allowed.</w:t>
      </w:r>
    </w:p>
    <w:p w14:paraId="492910B1" w14:textId="77777777" w:rsidR="00493786" w:rsidRPr="00493786" w:rsidRDefault="00493786" w:rsidP="00793AEE">
      <w:pPr>
        <w:widowControl/>
        <w:spacing w:after="120"/>
        <w:rPr>
          <w:rFonts w:ascii="Arial" w:eastAsia="Calibri" w:hAnsi="Arial" w:cs="Arial"/>
          <w:b/>
          <w:bCs/>
        </w:rPr>
      </w:pPr>
      <w:r w:rsidRPr="00493786">
        <w:rPr>
          <w:rFonts w:ascii="Arial" w:eastAsia="Calibri" w:hAnsi="Arial" w:cs="Arial"/>
          <w:b/>
          <w:bCs/>
        </w:rPr>
        <w:t xml:space="preserve">ASU No. 2018-15, </w:t>
      </w:r>
      <w:r w:rsidRPr="00493786">
        <w:rPr>
          <w:rFonts w:ascii="Arial" w:eastAsia="Calibri" w:hAnsi="Arial" w:cs="Arial"/>
          <w:b/>
          <w:bCs/>
          <w:i/>
          <w:iCs/>
        </w:rPr>
        <w:t>Customer’s Accounting for Implementation Costs Incurred in a Cloud Computing Arrangement That Is a Service Contract</w:t>
      </w:r>
    </w:p>
    <w:p w14:paraId="04E10D68" w14:textId="41DD3BC4" w:rsidR="00493786" w:rsidRPr="00493786" w:rsidRDefault="00493786" w:rsidP="00793AEE">
      <w:pPr>
        <w:widowControl/>
        <w:spacing w:after="120"/>
        <w:rPr>
          <w:rFonts w:ascii="Arial" w:eastAsia="Calibri" w:hAnsi="Arial" w:cs="Arial"/>
          <w:color w:val="000000"/>
        </w:rPr>
      </w:pPr>
      <w:r w:rsidRPr="00493786">
        <w:rPr>
          <w:rFonts w:ascii="Arial" w:eastAsia="Calibri" w:hAnsi="Arial" w:cs="Arial"/>
        </w:rPr>
        <w:t xml:space="preserve">The amendments in ASU No. 2018-15 align the requirements for capitalizing implementation costs incurred in a hosting arrangement that is a service contract with the requirements for capitalizing implementation costs incurred to develop or obtain internal-use software (and hosting arrangements that include an internal use software license). The ASU is effective for nonpublic entities for annual reporting periods beginning after December 15, 2020. Additional guidance on implementation of this ASU is available from the </w:t>
      </w:r>
      <w:hyperlink r:id="rId30" w:history="1">
        <w:r w:rsidRPr="00D15BA1">
          <w:rPr>
            <w:rFonts w:ascii="Arial" w:eastAsia="Calibri" w:hAnsi="Arial" w:cs="Arial"/>
            <w:color w:val="2E72FF" w:themeColor="text2" w:themeTint="80"/>
            <w:u w:val="single"/>
          </w:rPr>
          <w:t>Center for Plain English Accounting</w:t>
        </w:r>
      </w:hyperlink>
      <w:r w:rsidRPr="00493786">
        <w:rPr>
          <w:rFonts w:ascii="Arial" w:eastAsia="Calibri" w:hAnsi="Arial" w:cs="Arial"/>
        </w:rPr>
        <w:t>.</w:t>
      </w:r>
    </w:p>
    <w:p w14:paraId="48CBFFB6" w14:textId="77777777" w:rsidR="00493786" w:rsidRPr="00493786" w:rsidRDefault="00493786" w:rsidP="00793AEE">
      <w:pPr>
        <w:widowControl/>
        <w:autoSpaceDE/>
        <w:autoSpaceDN/>
        <w:adjustRightInd/>
        <w:spacing w:after="120"/>
        <w:rPr>
          <w:rFonts w:ascii="Arial" w:eastAsia="Calibri" w:hAnsi="Arial" w:cs="Arial"/>
          <w:color w:val="000000"/>
        </w:rPr>
      </w:pPr>
      <w:r w:rsidRPr="00493786">
        <w:rPr>
          <w:rFonts w:ascii="Arial" w:eastAsia="Calibri" w:hAnsi="Arial" w:cs="Arial"/>
          <w:b/>
          <w:bCs/>
          <w:color w:val="000000"/>
        </w:rPr>
        <w:t>Standards with later effective dates to be thinking about</w:t>
      </w:r>
    </w:p>
    <w:p w14:paraId="6F90FC69" w14:textId="0EFF4ECA" w:rsidR="00493786" w:rsidRPr="00493786" w:rsidRDefault="00493786" w:rsidP="00793AEE">
      <w:pPr>
        <w:widowControl/>
        <w:autoSpaceDE/>
        <w:autoSpaceDN/>
        <w:adjustRightInd/>
        <w:spacing w:after="120"/>
        <w:rPr>
          <w:rFonts w:ascii="Arial" w:eastAsia="Calibri" w:hAnsi="Arial" w:cs="Arial"/>
          <w:color w:val="000000"/>
        </w:rPr>
      </w:pPr>
      <w:r w:rsidRPr="00493786">
        <w:rPr>
          <w:rFonts w:ascii="Arial" w:eastAsia="Calibri" w:hAnsi="Arial" w:cs="Arial"/>
          <w:color w:val="000000"/>
        </w:rPr>
        <w:t>The following ASUs are not effective for NFPs in 2021; however, entities should still be aware of them so they can evaluate and adequately plan for implementation when the time comes.</w:t>
      </w:r>
    </w:p>
    <w:p w14:paraId="28302FFF" w14:textId="77777777" w:rsidR="00493786" w:rsidRPr="00493786" w:rsidRDefault="00493786" w:rsidP="00793AEE">
      <w:pPr>
        <w:widowControl/>
        <w:adjustRightInd/>
        <w:spacing w:after="120"/>
        <w:rPr>
          <w:rFonts w:ascii="Arial" w:eastAsia="Calibri" w:hAnsi="Arial" w:cs="Arial"/>
          <w:b/>
          <w:bCs/>
          <w:color w:val="000000"/>
        </w:rPr>
      </w:pPr>
      <w:r w:rsidRPr="00493786">
        <w:rPr>
          <w:rFonts w:ascii="Arial" w:eastAsia="Calibri" w:hAnsi="Arial" w:cs="Arial"/>
          <w:b/>
          <w:bCs/>
          <w:color w:val="000000"/>
        </w:rPr>
        <w:t xml:space="preserve">ASU No. 2020-07, </w:t>
      </w:r>
      <w:r w:rsidRPr="00493786">
        <w:rPr>
          <w:rFonts w:ascii="Arial" w:eastAsia="Calibri" w:hAnsi="Arial" w:cs="Arial"/>
          <w:b/>
          <w:bCs/>
          <w:i/>
          <w:iCs/>
          <w:color w:val="000000"/>
        </w:rPr>
        <w:t>Not-for-Profit Entities (Topic 958): Presentation and Disclosure by Not-for-Profit Entities for Contributed Nonfinancial Assets</w:t>
      </w:r>
    </w:p>
    <w:p w14:paraId="5BAE1A2F" w14:textId="77777777" w:rsidR="00493786" w:rsidRPr="00493786" w:rsidRDefault="00493786" w:rsidP="00793AEE">
      <w:pPr>
        <w:widowControl/>
        <w:autoSpaceDE/>
        <w:autoSpaceDN/>
        <w:adjustRightInd/>
        <w:spacing w:after="120"/>
        <w:rPr>
          <w:rFonts w:ascii="Arial" w:eastAsia="Calibri" w:hAnsi="Arial" w:cs="Arial"/>
          <w:color w:val="000000"/>
        </w:rPr>
      </w:pPr>
      <w:r w:rsidRPr="00493786">
        <w:rPr>
          <w:rFonts w:ascii="Arial" w:eastAsia="Calibri" w:hAnsi="Arial" w:cs="Arial"/>
          <w:color w:val="000000"/>
        </w:rPr>
        <w:t>While ASU No. 2020-07 is not effective until 2022, NFPs may be considering early adoption. The ASU requires that an NFP (1) present contributed nonfinancial assets as a separate line item in the statement of activities, apart from contributions of cash and other financial assets and (2) disclose the following:</w:t>
      </w:r>
    </w:p>
    <w:p w14:paraId="412F6107" w14:textId="77777777" w:rsidR="00493786" w:rsidRPr="00493786" w:rsidRDefault="00493786" w:rsidP="00793AEE">
      <w:pPr>
        <w:widowControl/>
        <w:numPr>
          <w:ilvl w:val="0"/>
          <w:numId w:val="42"/>
        </w:numPr>
        <w:autoSpaceDE/>
        <w:autoSpaceDN/>
        <w:adjustRightInd/>
        <w:spacing w:after="120"/>
        <w:contextualSpacing/>
        <w:rPr>
          <w:rFonts w:ascii="Arial" w:eastAsia="Calibri" w:hAnsi="Arial" w:cs="Arial"/>
          <w:color w:val="000000"/>
        </w:rPr>
      </w:pPr>
      <w:r w:rsidRPr="00493786">
        <w:rPr>
          <w:rFonts w:ascii="Arial" w:eastAsia="Calibri" w:hAnsi="Arial" w:cs="Arial"/>
          <w:color w:val="000000"/>
        </w:rPr>
        <w:t>A disaggregation of the amount of contributed nonfinancial assets recognized within the statement of activities by category that depicts the type of contributed nonfinancial assets.</w:t>
      </w:r>
    </w:p>
    <w:p w14:paraId="08E263D8" w14:textId="78D93BA7" w:rsidR="00493786" w:rsidRPr="00493786" w:rsidRDefault="00493786" w:rsidP="00793AEE">
      <w:pPr>
        <w:widowControl/>
        <w:numPr>
          <w:ilvl w:val="0"/>
          <w:numId w:val="42"/>
        </w:numPr>
        <w:autoSpaceDE/>
        <w:autoSpaceDN/>
        <w:adjustRightInd/>
        <w:spacing w:after="120"/>
        <w:rPr>
          <w:rFonts w:ascii="Arial" w:eastAsia="Calibri" w:hAnsi="Arial" w:cs="Arial"/>
          <w:color w:val="000000"/>
        </w:rPr>
      </w:pPr>
      <w:r w:rsidRPr="00493786">
        <w:rPr>
          <w:rFonts w:ascii="Arial" w:eastAsia="Calibri" w:hAnsi="Arial" w:cs="Arial"/>
          <w:color w:val="000000"/>
        </w:rPr>
        <w:t>For each category of contributed nonfinancial assets recognized (as identified in (a)), qualitative information about wither nonfinancial assets were monetized or utilized; the NFP’s policy (if any) about monetizing rather than utilizing contributed nonfinancial assets; donor-imposed restrictions associated with contributed nonfinancial assets; and valuation techniques, inputs, and the principal market used for determining fair value.</w:t>
      </w:r>
    </w:p>
    <w:p w14:paraId="400EC7D5" w14:textId="7ED06B81" w:rsidR="00D038DF" w:rsidRPr="0019195B" w:rsidRDefault="00493786" w:rsidP="00793AEE">
      <w:pPr>
        <w:widowControl/>
        <w:adjustRightInd/>
        <w:spacing w:after="120"/>
        <w:rPr>
          <w:rFonts w:ascii="Arial" w:eastAsia="Calibri" w:hAnsi="Arial" w:cs="Arial"/>
          <w:color w:val="000000"/>
        </w:rPr>
      </w:pPr>
      <w:r w:rsidRPr="00493786">
        <w:rPr>
          <w:rFonts w:ascii="Arial" w:eastAsia="Calibri" w:hAnsi="Arial" w:cs="Arial"/>
          <w:color w:val="000000"/>
        </w:rPr>
        <w:t>Amendments in this standard are effective for annual periods beginning after June 15, 2021 (calendar year 2022; fiscal year 2021-22), and interim periods within annual periods beginning after June 15, 2022. Retrospective basis is used for implementation. Early adoption is permitted.</w:t>
      </w:r>
      <w:r w:rsidRPr="00493786">
        <w:rPr>
          <w:rFonts w:ascii="Arial" w:eastAsia="Calibri" w:hAnsi="Arial" w:cs="Arial"/>
          <w:color w:val="000000"/>
          <w:shd w:val="clear" w:color="auto" w:fill="FFFFFF"/>
        </w:rPr>
        <w:t xml:space="preserve"> Sample disclosures are available in the ASU and </w:t>
      </w:r>
      <w:hyperlink r:id="rId31" w:history="1">
        <w:r w:rsidRPr="00D15BA1">
          <w:rPr>
            <w:rFonts w:ascii="Arial" w:eastAsia="Calibri" w:hAnsi="Arial" w:cs="Arial"/>
            <w:color w:val="2E72FF" w:themeColor="text2" w:themeTint="80"/>
            <w:u w:val="single"/>
            <w:shd w:val="clear" w:color="auto" w:fill="FFFFFF"/>
          </w:rPr>
          <w:t>this resource</w:t>
        </w:r>
      </w:hyperlink>
      <w:r w:rsidRPr="00493786">
        <w:rPr>
          <w:rFonts w:ascii="Arial" w:eastAsia="Calibri" w:hAnsi="Arial" w:cs="Arial"/>
          <w:color w:val="000000"/>
          <w:shd w:val="clear" w:color="auto" w:fill="FFFFFF"/>
        </w:rPr>
        <w:t>.</w:t>
      </w:r>
    </w:p>
    <w:p w14:paraId="24FC8C29" w14:textId="026A38B9" w:rsidR="00493786" w:rsidRPr="00493786" w:rsidRDefault="00493786" w:rsidP="00793AEE">
      <w:pPr>
        <w:widowControl/>
        <w:autoSpaceDE/>
        <w:autoSpaceDN/>
        <w:adjustRightInd/>
        <w:spacing w:after="120"/>
        <w:rPr>
          <w:rFonts w:ascii="Arial" w:eastAsia="Calibri" w:hAnsi="Arial" w:cs="Arial"/>
          <w:b/>
          <w:bCs/>
          <w:color w:val="000000"/>
        </w:rPr>
      </w:pPr>
      <w:r w:rsidRPr="00493786">
        <w:rPr>
          <w:rFonts w:ascii="Arial" w:eastAsia="Calibri" w:hAnsi="Arial" w:cs="Arial"/>
          <w:b/>
          <w:bCs/>
          <w:color w:val="000000"/>
        </w:rPr>
        <w:t xml:space="preserve">ASU No. 2017-04, </w:t>
      </w:r>
      <w:r w:rsidRPr="00493786">
        <w:rPr>
          <w:rFonts w:ascii="Arial" w:eastAsia="Calibri" w:hAnsi="Arial" w:cs="Arial"/>
          <w:b/>
          <w:bCs/>
          <w:i/>
          <w:iCs/>
          <w:color w:val="000000"/>
        </w:rPr>
        <w:t>Intangibles – Goodwill and Other (Topic 350): Simplifying the Test for Goodwill Impairment</w:t>
      </w:r>
    </w:p>
    <w:p w14:paraId="2F758901" w14:textId="526161EA" w:rsidR="00493786" w:rsidRPr="00493786" w:rsidRDefault="00493786" w:rsidP="00793AEE">
      <w:pPr>
        <w:widowControl/>
        <w:autoSpaceDE/>
        <w:autoSpaceDN/>
        <w:adjustRightInd/>
        <w:spacing w:after="120"/>
        <w:rPr>
          <w:rFonts w:ascii="Arial" w:eastAsia="Calibri" w:hAnsi="Arial" w:cs="Arial"/>
          <w:color w:val="000000"/>
        </w:rPr>
      </w:pPr>
      <w:r w:rsidRPr="00493786">
        <w:rPr>
          <w:rFonts w:ascii="Arial" w:eastAsia="Calibri" w:hAnsi="Arial" w:cs="Arial"/>
          <w:color w:val="000000"/>
        </w:rPr>
        <w:t>This ASU serves to simplify the test for goodwill impairment by eliminating step 2 of the test, focusing on the lower of fair value of the reporting unit compared to the carrying value, and removing the requirement to record negative goodwill. The standard is effective for nonpublic entities for annual reporting periods beginning after December 15, 2021. Early adopting is permitted.</w:t>
      </w:r>
    </w:p>
    <w:p w14:paraId="4B15ACB3" w14:textId="77777777" w:rsidR="00493786" w:rsidRPr="00493786" w:rsidRDefault="00493786" w:rsidP="00793AEE">
      <w:pPr>
        <w:widowControl/>
        <w:autoSpaceDE/>
        <w:autoSpaceDN/>
        <w:adjustRightInd/>
        <w:spacing w:after="120"/>
        <w:rPr>
          <w:rFonts w:ascii="Arial" w:eastAsia="Calibri" w:hAnsi="Arial" w:cs="Arial"/>
          <w:b/>
          <w:bCs/>
          <w:i/>
          <w:iCs/>
          <w:color w:val="000000"/>
        </w:rPr>
      </w:pPr>
      <w:r w:rsidRPr="00493786">
        <w:rPr>
          <w:rFonts w:ascii="Arial" w:eastAsia="Calibri" w:hAnsi="Arial" w:cs="Arial"/>
          <w:b/>
          <w:bCs/>
          <w:color w:val="000000"/>
        </w:rPr>
        <w:t xml:space="preserve">ASU No. 2016-13, </w:t>
      </w:r>
      <w:r w:rsidRPr="00493786">
        <w:rPr>
          <w:rFonts w:ascii="Arial" w:eastAsia="Calibri" w:hAnsi="Arial" w:cs="Arial"/>
          <w:b/>
          <w:bCs/>
          <w:i/>
          <w:iCs/>
          <w:color w:val="000000"/>
        </w:rPr>
        <w:t>Financial Instruments – Credit Losses (Topic 326): Measurement of Credit Losses on Financial Instruments</w:t>
      </w:r>
    </w:p>
    <w:p w14:paraId="265E8475" w14:textId="08C49B09" w:rsidR="00493786" w:rsidRPr="00493786" w:rsidRDefault="00493786" w:rsidP="00793AEE">
      <w:pPr>
        <w:widowControl/>
        <w:autoSpaceDE/>
        <w:autoSpaceDN/>
        <w:adjustRightInd/>
        <w:spacing w:after="120"/>
        <w:rPr>
          <w:rFonts w:ascii="Arial" w:eastAsia="Calibri" w:hAnsi="Arial" w:cs="Arial"/>
          <w:color w:val="000000"/>
        </w:rPr>
      </w:pPr>
      <w:r w:rsidRPr="00493786">
        <w:rPr>
          <w:rFonts w:ascii="Arial" w:eastAsia="Calibri" w:hAnsi="Arial" w:cs="Arial"/>
          <w:color w:val="000000"/>
        </w:rPr>
        <w:t>The amendments in ASU No. 2016-13 require more timely reporting and disclosure of credit loss allowances on receivables and other financial instruments not reported at fair value. Furthermore, expected losses must be based on historical experience, current conditions</w:t>
      </w:r>
      <w:r w:rsidR="001610D0">
        <w:rPr>
          <w:rFonts w:ascii="Arial" w:eastAsia="Calibri" w:hAnsi="Arial" w:cs="Arial"/>
          <w:color w:val="000000"/>
        </w:rPr>
        <w:t xml:space="preserve"> </w:t>
      </w:r>
      <w:r w:rsidRPr="00493786">
        <w:rPr>
          <w:rFonts w:ascii="Arial" w:eastAsia="Calibri" w:hAnsi="Arial" w:cs="Arial"/>
          <w:color w:val="000000"/>
        </w:rPr>
        <w:t>and reasonable (and supportable) forecasts. The ASU is effective for nonpublic entities for annual reporting periods beginning after December 15, 2022.</w:t>
      </w:r>
    </w:p>
    <w:p w14:paraId="130C4350" w14:textId="77777777" w:rsidR="00493786" w:rsidRPr="00493786" w:rsidRDefault="00493786" w:rsidP="00793AEE">
      <w:pPr>
        <w:widowControl/>
        <w:autoSpaceDE/>
        <w:autoSpaceDN/>
        <w:adjustRightInd/>
        <w:spacing w:after="120"/>
        <w:rPr>
          <w:rFonts w:ascii="Arial" w:eastAsia="Calibri" w:hAnsi="Arial" w:cs="Arial"/>
          <w:b/>
          <w:bCs/>
          <w:color w:val="000000"/>
        </w:rPr>
      </w:pPr>
      <w:r w:rsidRPr="00493786">
        <w:rPr>
          <w:rFonts w:ascii="Arial" w:eastAsia="Calibri" w:hAnsi="Arial" w:cs="Arial"/>
          <w:b/>
          <w:bCs/>
          <w:color w:val="000000"/>
        </w:rPr>
        <w:t>Summary</w:t>
      </w:r>
    </w:p>
    <w:p w14:paraId="200E3FBE" w14:textId="797C5945" w:rsidR="00493786" w:rsidRPr="00493786" w:rsidRDefault="00493786" w:rsidP="00793AEE">
      <w:pPr>
        <w:widowControl/>
        <w:autoSpaceDE/>
        <w:autoSpaceDN/>
        <w:adjustRightInd/>
        <w:spacing w:after="120"/>
        <w:rPr>
          <w:rFonts w:ascii="Arial" w:eastAsia="Calibri" w:hAnsi="Arial" w:cs="Arial"/>
          <w:color w:val="000000"/>
        </w:rPr>
      </w:pPr>
      <w:r w:rsidRPr="00493786">
        <w:rPr>
          <w:rFonts w:ascii="Arial" w:eastAsia="Calibri" w:hAnsi="Arial" w:cs="Arial"/>
          <w:color w:val="000000"/>
        </w:rPr>
        <w:t xml:space="preserve">Preparing for implementation of new ASUs can be a daunting task; however, it does not have to be. By taking the time and effort to evaluate and plan for adoption of new standards, entities will be better prepared for implementation making the whole process less stressful. All NFPs are different, so these ASUs will have different effects and implications depending on the nature of the entity’s operations. Attending trainings, talking </w:t>
      </w:r>
      <w:r w:rsidRPr="00493786">
        <w:rPr>
          <w:rFonts w:ascii="Arial" w:eastAsia="Calibri" w:hAnsi="Arial" w:cs="Arial"/>
          <w:color w:val="000000"/>
        </w:rPr>
        <w:lastRenderedPageBreak/>
        <w:t>with colleagues and meeting with auditors are just some of the things NFPs can do to alleviate some of the stress and burden of adopting new ASUs.</w:t>
      </w:r>
    </w:p>
    <w:p w14:paraId="5DB017D1" w14:textId="77777777" w:rsidR="00493786" w:rsidRPr="00493786" w:rsidRDefault="00493786" w:rsidP="00793AEE">
      <w:pPr>
        <w:widowControl/>
        <w:autoSpaceDE/>
        <w:autoSpaceDN/>
        <w:adjustRightInd/>
        <w:spacing w:after="120"/>
        <w:rPr>
          <w:rFonts w:ascii="Arial" w:eastAsia="Calibri" w:hAnsi="Arial" w:cs="Arial"/>
          <w:b/>
          <w:bCs/>
          <w:color w:val="000000"/>
        </w:rPr>
      </w:pPr>
      <w:r w:rsidRPr="00493786">
        <w:rPr>
          <w:rFonts w:ascii="Arial" w:eastAsia="Calibri" w:hAnsi="Arial" w:cs="Arial"/>
          <w:b/>
          <w:bCs/>
          <w:color w:val="000000"/>
        </w:rPr>
        <w:t>Additional Resources</w:t>
      </w:r>
    </w:p>
    <w:p w14:paraId="478E84D1" w14:textId="77777777" w:rsidR="00493786" w:rsidRPr="00493786" w:rsidRDefault="00493786" w:rsidP="00793AEE">
      <w:pPr>
        <w:widowControl/>
        <w:autoSpaceDE/>
        <w:autoSpaceDN/>
        <w:adjustRightInd/>
        <w:spacing w:after="120"/>
        <w:rPr>
          <w:rFonts w:ascii="Arial" w:eastAsia="Calibri" w:hAnsi="Arial" w:cs="Arial"/>
          <w:color w:val="000000"/>
        </w:rPr>
      </w:pPr>
      <w:r w:rsidRPr="00493786">
        <w:rPr>
          <w:rFonts w:ascii="Arial" w:eastAsia="Calibri" w:hAnsi="Arial" w:cs="Arial"/>
          <w:color w:val="000000"/>
        </w:rPr>
        <w:t>The following resource libraries and publications provide additional guidance and tools to assist entities with implementation of new accounting standards:</w:t>
      </w:r>
    </w:p>
    <w:p w14:paraId="418A223D" w14:textId="77777777" w:rsidR="00493786" w:rsidRPr="00D15BA1" w:rsidRDefault="00000CAE" w:rsidP="00D15BA1">
      <w:pPr>
        <w:widowControl/>
        <w:numPr>
          <w:ilvl w:val="0"/>
          <w:numId w:val="45"/>
        </w:numPr>
        <w:autoSpaceDE/>
        <w:autoSpaceDN/>
        <w:adjustRightInd/>
        <w:spacing w:after="120"/>
        <w:contextualSpacing/>
        <w:rPr>
          <w:rFonts w:ascii="Arial" w:eastAsia="Calibri" w:hAnsi="Arial" w:cs="Arial"/>
          <w:color w:val="2E72FF" w:themeColor="text2" w:themeTint="80"/>
        </w:rPr>
      </w:pPr>
      <w:hyperlink r:id="rId32" w:history="1">
        <w:r w:rsidR="00493786" w:rsidRPr="00D15BA1">
          <w:rPr>
            <w:rFonts w:ascii="Arial" w:eastAsia="Calibri" w:hAnsi="Arial" w:cs="Arial"/>
            <w:color w:val="2E72FF" w:themeColor="text2" w:themeTint="80"/>
            <w:u w:val="single"/>
          </w:rPr>
          <w:t>Not-for-Profit Financial Accounting and Reporting Resource Library</w:t>
        </w:r>
      </w:hyperlink>
    </w:p>
    <w:p w14:paraId="6B504F9B" w14:textId="7BFE442D" w:rsidR="00493786" w:rsidRPr="00D15BA1" w:rsidRDefault="00DC0533" w:rsidP="00D15BA1">
      <w:pPr>
        <w:widowControl/>
        <w:numPr>
          <w:ilvl w:val="0"/>
          <w:numId w:val="45"/>
        </w:numPr>
        <w:autoSpaceDE/>
        <w:autoSpaceDN/>
        <w:adjustRightInd/>
        <w:spacing w:after="120"/>
        <w:contextualSpacing/>
        <w:rPr>
          <w:rStyle w:val="Hyperlink"/>
          <w:rFonts w:ascii="Arial" w:eastAsia="Calibri" w:hAnsi="Arial" w:cs="Arial"/>
          <w:color w:val="2E72FF" w:themeColor="text2" w:themeTint="80"/>
        </w:rPr>
      </w:pPr>
      <w:r w:rsidRPr="00D15BA1">
        <w:rPr>
          <w:rFonts w:ascii="Arial" w:eastAsia="Calibri" w:hAnsi="Arial" w:cs="Arial"/>
          <w:color w:val="2E72FF" w:themeColor="text2" w:themeTint="80"/>
          <w:u w:val="single"/>
        </w:rPr>
        <w:fldChar w:fldCharType="begin"/>
      </w:r>
      <w:r w:rsidRPr="00D15BA1">
        <w:rPr>
          <w:rFonts w:ascii="Arial" w:eastAsia="Calibri" w:hAnsi="Arial" w:cs="Arial"/>
          <w:color w:val="2E72FF" w:themeColor="text2" w:themeTint="80"/>
          <w:u w:val="single"/>
        </w:rPr>
        <w:instrText xml:space="preserve"> HYPERLINK "https://www.aicpa.org/cpe-learning/publication/not-for-profit-entities-industry-developments-audit-risk-alert" </w:instrText>
      </w:r>
      <w:r w:rsidRPr="00D15BA1">
        <w:rPr>
          <w:rFonts w:ascii="Arial" w:eastAsia="Calibri" w:hAnsi="Arial" w:cs="Arial"/>
          <w:color w:val="2E72FF" w:themeColor="text2" w:themeTint="80"/>
          <w:u w:val="single"/>
        </w:rPr>
        <w:fldChar w:fldCharType="separate"/>
      </w:r>
      <w:r w:rsidR="00493786" w:rsidRPr="00D15BA1">
        <w:rPr>
          <w:rStyle w:val="Hyperlink"/>
          <w:rFonts w:ascii="Arial" w:eastAsia="Calibri" w:hAnsi="Arial" w:cs="Arial"/>
          <w:color w:val="2E72FF" w:themeColor="text2" w:themeTint="80"/>
        </w:rPr>
        <w:t>Not-for-Profit Entities Industry Developments – Audit Risk Alert</w:t>
      </w:r>
    </w:p>
    <w:p w14:paraId="030AD829" w14:textId="0FD1A4A3" w:rsidR="00493786" w:rsidRPr="00D15BA1" w:rsidRDefault="00DC0533" w:rsidP="00D15BA1">
      <w:pPr>
        <w:widowControl/>
        <w:numPr>
          <w:ilvl w:val="0"/>
          <w:numId w:val="45"/>
        </w:numPr>
        <w:autoSpaceDE/>
        <w:autoSpaceDN/>
        <w:adjustRightInd/>
        <w:spacing w:after="120"/>
        <w:contextualSpacing/>
        <w:rPr>
          <w:rFonts w:ascii="Arial" w:eastAsia="Calibri" w:hAnsi="Arial" w:cs="Arial"/>
          <w:color w:val="2E72FF" w:themeColor="text2" w:themeTint="80"/>
        </w:rPr>
      </w:pPr>
      <w:r w:rsidRPr="00D15BA1">
        <w:rPr>
          <w:rFonts w:ascii="Arial" w:eastAsia="Calibri" w:hAnsi="Arial" w:cs="Arial"/>
          <w:color w:val="2E72FF" w:themeColor="text2" w:themeTint="80"/>
          <w:u w:val="single"/>
        </w:rPr>
        <w:fldChar w:fldCharType="end"/>
      </w:r>
      <w:hyperlink r:id="rId33" w:history="1">
        <w:r w:rsidR="00493786" w:rsidRPr="00D15BA1">
          <w:rPr>
            <w:rFonts w:ascii="Arial" w:eastAsia="Calibri" w:hAnsi="Arial" w:cs="Arial"/>
            <w:color w:val="2E72FF" w:themeColor="text2" w:themeTint="80"/>
            <w:u w:val="single"/>
          </w:rPr>
          <w:t>Not-for-Profit Entities – Audit and Accounting Guide</w:t>
        </w:r>
      </w:hyperlink>
    </w:p>
    <w:p w14:paraId="52135145" w14:textId="77777777" w:rsidR="00493786" w:rsidRPr="00D15BA1" w:rsidRDefault="00000CAE" w:rsidP="00D15BA1">
      <w:pPr>
        <w:widowControl/>
        <w:numPr>
          <w:ilvl w:val="0"/>
          <w:numId w:val="45"/>
        </w:numPr>
        <w:autoSpaceDE/>
        <w:autoSpaceDN/>
        <w:adjustRightInd/>
        <w:spacing w:after="120"/>
        <w:contextualSpacing/>
        <w:rPr>
          <w:rFonts w:ascii="Arial" w:eastAsia="Calibri" w:hAnsi="Arial" w:cs="Arial"/>
          <w:color w:val="2E72FF" w:themeColor="text2" w:themeTint="80"/>
        </w:rPr>
      </w:pPr>
      <w:hyperlink r:id="rId34" w:history="1">
        <w:r w:rsidR="00493786" w:rsidRPr="00D15BA1">
          <w:rPr>
            <w:rFonts w:ascii="Arial" w:eastAsia="Calibri" w:hAnsi="Arial" w:cs="Arial"/>
            <w:color w:val="2E72FF" w:themeColor="text2" w:themeTint="80"/>
            <w:u w:val="single"/>
          </w:rPr>
          <w:t>AICPA Financial Reporting Center</w:t>
        </w:r>
      </w:hyperlink>
    </w:p>
    <w:p w14:paraId="4A219CA2" w14:textId="14E3DDD5" w:rsidR="00493786" w:rsidRPr="00D15BA1" w:rsidRDefault="00000CAE" w:rsidP="00D15BA1">
      <w:pPr>
        <w:widowControl/>
        <w:numPr>
          <w:ilvl w:val="0"/>
          <w:numId w:val="45"/>
        </w:numPr>
        <w:autoSpaceDE/>
        <w:autoSpaceDN/>
        <w:adjustRightInd/>
        <w:spacing w:after="120"/>
        <w:contextualSpacing/>
        <w:rPr>
          <w:rFonts w:ascii="Arial" w:eastAsia="Calibri" w:hAnsi="Arial" w:cs="Arial"/>
          <w:color w:val="2E72FF" w:themeColor="text2" w:themeTint="80"/>
        </w:rPr>
      </w:pPr>
      <w:hyperlink r:id="rId35" w:history="1">
        <w:r w:rsidR="00493786" w:rsidRPr="00D15BA1">
          <w:rPr>
            <w:rFonts w:ascii="Arial" w:eastAsia="Calibri" w:hAnsi="Arial" w:cs="Arial"/>
            <w:color w:val="2E72FF" w:themeColor="text2" w:themeTint="80"/>
            <w:u w:val="single"/>
          </w:rPr>
          <w:t>AICPA Revenue Recognition Resource Center</w:t>
        </w:r>
      </w:hyperlink>
    </w:p>
    <w:p w14:paraId="04C1EDDA" w14:textId="7E24F568" w:rsidR="005A4665" w:rsidRDefault="005A4665" w:rsidP="005A4665">
      <w:pPr>
        <w:widowControl/>
        <w:autoSpaceDE/>
        <w:autoSpaceDN/>
        <w:adjustRightInd/>
        <w:spacing w:after="0"/>
        <w:contextualSpacing/>
        <w:rPr>
          <w:rFonts w:ascii="Arial" w:eastAsia="Calibri" w:hAnsi="Arial" w:cs="Arial"/>
          <w:color w:val="0000FF"/>
          <w:u w:val="single"/>
        </w:rPr>
      </w:pPr>
    </w:p>
    <w:p w14:paraId="6AE78A18" w14:textId="74AA90FF" w:rsidR="005A4665" w:rsidRDefault="005A4665" w:rsidP="005A4665">
      <w:pPr>
        <w:widowControl/>
        <w:autoSpaceDE/>
        <w:autoSpaceDN/>
        <w:adjustRightInd/>
        <w:spacing w:after="0"/>
        <w:contextualSpacing/>
        <w:rPr>
          <w:rFonts w:ascii="Arial" w:eastAsia="Calibri" w:hAnsi="Arial" w:cs="Arial"/>
          <w:color w:val="0000FF"/>
          <w:u w:val="single"/>
        </w:rPr>
      </w:pPr>
    </w:p>
    <w:p w14:paraId="4E8977A1" w14:textId="69E63CA3" w:rsidR="00793AEE" w:rsidRDefault="00793AEE" w:rsidP="005A4665">
      <w:pPr>
        <w:widowControl/>
        <w:autoSpaceDE/>
        <w:autoSpaceDN/>
        <w:adjustRightInd/>
        <w:spacing w:after="0"/>
        <w:contextualSpacing/>
        <w:rPr>
          <w:rFonts w:ascii="Arial" w:eastAsia="Calibri" w:hAnsi="Arial" w:cs="Arial"/>
          <w:color w:val="0000FF"/>
          <w:u w:val="single"/>
        </w:rPr>
      </w:pPr>
    </w:p>
    <w:p w14:paraId="40B11D52" w14:textId="77777777" w:rsidR="00793AEE" w:rsidRDefault="00793AEE" w:rsidP="005A4665">
      <w:pPr>
        <w:widowControl/>
        <w:autoSpaceDE/>
        <w:autoSpaceDN/>
        <w:adjustRightInd/>
        <w:spacing w:after="0"/>
        <w:contextualSpacing/>
        <w:rPr>
          <w:rFonts w:ascii="Arial" w:eastAsia="Calibri" w:hAnsi="Arial" w:cs="Arial"/>
          <w:color w:val="0000FF"/>
          <w:u w:val="single"/>
        </w:rPr>
      </w:pPr>
    </w:p>
    <w:p w14:paraId="63EF2EE0" w14:textId="77777777" w:rsidR="00793AEE" w:rsidRDefault="00793AEE" w:rsidP="005A4665">
      <w:pPr>
        <w:widowControl/>
        <w:autoSpaceDE/>
        <w:autoSpaceDN/>
        <w:adjustRightInd/>
        <w:spacing w:after="0"/>
        <w:contextualSpacing/>
        <w:rPr>
          <w:rFonts w:ascii="Arial" w:eastAsia="Calibri" w:hAnsi="Arial" w:cs="Arial"/>
          <w:color w:val="0000FF"/>
          <w:u w:val="single"/>
        </w:rPr>
      </w:pPr>
    </w:p>
    <w:p w14:paraId="3AD9DF7C" w14:textId="77777777" w:rsidR="005A4665" w:rsidRDefault="005A4665" w:rsidP="005A4665">
      <w:pPr>
        <w:widowControl/>
        <w:autoSpaceDE/>
        <w:autoSpaceDN/>
        <w:adjustRightInd/>
        <w:spacing w:after="0"/>
        <w:contextualSpacing/>
        <w:rPr>
          <w:rFonts w:ascii="Arial" w:eastAsia="Calibri" w:hAnsi="Arial" w:cs="Arial"/>
          <w:color w:val="0000FF"/>
          <w:u w:val="single"/>
        </w:rPr>
      </w:pPr>
    </w:p>
    <w:p w14:paraId="1E67A8FE" w14:textId="45A72CC1" w:rsidR="005A4665" w:rsidRDefault="005A4665" w:rsidP="005A4665">
      <w:pPr>
        <w:widowControl/>
        <w:autoSpaceDE/>
        <w:autoSpaceDN/>
        <w:adjustRightInd/>
        <w:spacing w:after="0"/>
        <w:contextualSpacing/>
        <w:rPr>
          <w:rFonts w:ascii="Arial" w:eastAsia="Calibri" w:hAnsi="Arial" w:cs="Arial"/>
          <w:color w:val="0000FF"/>
          <w:u w:val="single"/>
        </w:rPr>
      </w:pPr>
      <w:r w:rsidRPr="005A4665">
        <w:rPr>
          <w:rFonts w:ascii="Arial" w:eastAsia="Calibri" w:hAnsi="Arial" w:cs="Arial"/>
          <w:noProof/>
          <w:color w:val="0000FF"/>
          <w:u w:val="single"/>
        </w:rPr>
        <w:drawing>
          <wp:inline distT="0" distB="0" distL="0" distR="0" wp14:anchorId="396CCCD1" wp14:editId="7470D5A7">
            <wp:extent cx="6870700" cy="4235315"/>
            <wp:effectExtent l="0" t="0" r="6350" b="0"/>
            <wp:docPr id="10242" name="Picture 2" descr="You Have to Trust Everyone You Work With -- Including the Ones You ...">
              <a:extLst xmlns:a="http://schemas.openxmlformats.org/drawingml/2006/main">
                <a:ext uri="{FF2B5EF4-FFF2-40B4-BE49-F238E27FC236}">
                  <a16:creationId xmlns:a16="http://schemas.microsoft.com/office/drawing/2014/main" id="{75E5E878-EE54-7C4A-B6FD-4B6E0567B0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You Have to Trust Everyone You Work With -- Including the Ones You ...">
                      <a:extLst>
                        <a:ext uri="{FF2B5EF4-FFF2-40B4-BE49-F238E27FC236}">
                          <a16:creationId xmlns:a16="http://schemas.microsoft.com/office/drawing/2014/main" id="{75E5E878-EE54-7C4A-B6FD-4B6E0567B040}"/>
                        </a:ext>
                      </a:extLst>
                    </pic:cNvPr>
                    <pic:cNvPicPr>
                      <a:picLocks noChangeAspect="1" noChangeArrowheads="1"/>
                    </pic:cNvPicPr>
                  </pic:nvPicPr>
                  <pic:blipFill rotWithShape="1">
                    <a:blip r:embed="rId36" cstate="email">
                      <a:extLst>
                        <a:ext uri="{28A0092B-C50C-407E-A947-70E740481C1C}">
                          <a14:useLocalDpi xmlns:a14="http://schemas.microsoft.com/office/drawing/2010/main"/>
                        </a:ext>
                      </a:extLst>
                    </a:blip>
                    <a:srcRect l="7409" b="1055"/>
                    <a:stretch/>
                  </pic:blipFill>
                  <pic:spPr bwMode="auto">
                    <a:xfrm>
                      <a:off x="0" y="0"/>
                      <a:ext cx="6898960" cy="4252735"/>
                    </a:xfrm>
                    <a:prstGeom prst="rect">
                      <a:avLst/>
                    </a:prstGeom>
                    <a:noFill/>
                    <a:ln>
                      <a:noFill/>
                    </a:ln>
                    <a:extLst>
                      <a:ext uri="{53640926-AAD7-44D8-BBD7-CCE9431645EC}">
                        <a14:shadowObscured xmlns:a14="http://schemas.microsoft.com/office/drawing/2010/main"/>
                      </a:ext>
                    </a:extLst>
                  </pic:spPr>
                </pic:pic>
              </a:graphicData>
            </a:graphic>
          </wp:inline>
        </w:drawing>
      </w:r>
    </w:p>
    <w:p w14:paraId="44CC0CDA" w14:textId="04854E74" w:rsidR="005A4665" w:rsidRDefault="005A4665" w:rsidP="005A4665">
      <w:pPr>
        <w:widowControl/>
        <w:autoSpaceDE/>
        <w:autoSpaceDN/>
        <w:adjustRightInd/>
        <w:spacing w:after="0"/>
        <w:contextualSpacing/>
        <w:rPr>
          <w:rFonts w:ascii="Arial" w:eastAsia="Calibri" w:hAnsi="Arial" w:cs="Arial"/>
          <w:color w:val="0000FF"/>
          <w:u w:val="single"/>
        </w:rPr>
      </w:pPr>
    </w:p>
    <w:p w14:paraId="091F7C08" w14:textId="17E5E1C0" w:rsidR="005D0BCA" w:rsidRDefault="005D0BCA" w:rsidP="005A4665">
      <w:pPr>
        <w:widowControl/>
        <w:autoSpaceDE/>
        <w:autoSpaceDN/>
        <w:adjustRightInd/>
        <w:spacing w:after="0"/>
        <w:contextualSpacing/>
        <w:rPr>
          <w:rFonts w:ascii="Arial" w:eastAsia="Calibri" w:hAnsi="Arial" w:cs="Arial"/>
          <w:color w:val="0000FF"/>
          <w:u w:val="single"/>
        </w:rPr>
      </w:pPr>
    </w:p>
    <w:p w14:paraId="691247FB" w14:textId="7D606217" w:rsidR="005D0BCA" w:rsidRDefault="005D0BCA" w:rsidP="005A4665">
      <w:pPr>
        <w:widowControl/>
        <w:autoSpaceDE/>
        <w:autoSpaceDN/>
        <w:adjustRightInd/>
        <w:spacing w:after="0"/>
        <w:contextualSpacing/>
        <w:rPr>
          <w:rFonts w:ascii="Arial" w:eastAsia="Calibri" w:hAnsi="Arial" w:cs="Arial"/>
          <w:color w:val="0000FF"/>
          <w:u w:val="single"/>
        </w:rPr>
      </w:pPr>
    </w:p>
    <w:p w14:paraId="759FFA7F" w14:textId="1559DAF1" w:rsidR="005D0BCA" w:rsidRDefault="005D0BCA" w:rsidP="005A4665">
      <w:pPr>
        <w:widowControl/>
        <w:autoSpaceDE/>
        <w:autoSpaceDN/>
        <w:adjustRightInd/>
        <w:spacing w:after="0"/>
        <w:contextualSpacing/>
        <w:rPr>
          <w:rFonts w:ascii="Arial" w:eastAsia="Calibri" w:hAnsi="Arial" w:cs="Arial"/>
          <w:color w:val="0000FF"/>
          <w:u w:val="single"/>
        </w:rPr>
      </w:pPr>
    </w:p>
    <w:p w14:paraId="33310C52" w14:textId="1E3E021A" w:rsidR="005D0BCA" w:rsidRDefault="005D0BCA" w:rsidP="005A4665">
      <w:pPr>
        <w:widowControl/>
        <w:autoSpaceDE/>
        <w:autoSpaceDN/>
        <w:adjustRightInd/>
        <w:spacing w:after="0"/>
        <w:contextualSpacing/>
        <w:rPr>
          <w:rFonts w:ascii="Arial" w:eastAsia="Calibri" w:hAnsi="Arial" w:cs="Arial"/>
          <w:color w:val="0000FF"/>
          <w:u w:val="single"/>
        </w:rPr>
      </w:pPr>
    </w:p>
    <w:p w14:paraId="4BE36880" w14:textId="6E2CD428" w:rsidR="00793AEE" w:rsidRDefault="00793AEE" w:rsidP="005A4665">
      <w:pPr>
        <w:widowControl/>
        <w:autoSpaceDE/>
        <w:autoSpaceDN/>
        <w:adjustRightInd/>
        <w:spacing w:after="0"/>
        <w:contextualSpacing/>
        <w:rPr>
          <w:rFonts w:ascii="Arial" w:eastAsia="Calibri" w:hAnsi="Arial" w:cs="Arial"/>
          <w:color w:val="0000FF"/>
          <w:u w:val="single"/>
        </w:rPr>
      </w:pPr>
    </w:p>
    <w:p w14:paraId="48D404AE" w14:textId="08C474AF" w:rsidR="00793AEE" w:rsidRDefault="00793AEE" w:rsidP="005A4665">
      <w:pPr>
        <w:widowControl/>
        <w:autoSpaceDE/>
        <w:autoSpaceDN/>
        <w:adjustRightInd/>
        <w:spacing w:after="0"/>
        <w:contextualSpacing/>
        <w:rPr>
          <w:rFonts w:ascii="Arial" w:eastAsia="Calibri" w:hAnsi="Arial" w:cs="Arial"/>
          <w:color w:val="0000FF"/>
          <w:u w:val="single"/>
        </w:rPr>
      </w:pPr>
    </w:p>
    <w:p w14:paraId="73BD1F82" w14:textId="51FD2476" w:rsidR="00793AEE" w:rsidRDefault="00793AEE" w:rsidP="005A4665">
      <w:pPr>
        <w:widowControl/>
        <w:autoSpaceDE/>
        <w:autoSpaceDN/>
        <w:adjustRightInd/>
        <w:spacing w:after="0"/>
        <w:contextualSpacing/>
        <w:rPr>
          <w:rFonts w:ascii="Arial" w:eastAsia="Calibri" w:hAnsi="Arial" w:cs="Arial"/>
          <w:color w:val="0000FF"/>
          <w:u w:val="single"/>
        </w:rPr>
      </w:pPr>
    </w:p>
    <w:p w14:paraId="776C9117" w14:textId="1B071179" w:rsidR="009F64C8" w:rsidRDefault="009F64C8" w:rsidP="005A4665">
      <w:pPr>
        <w:widowControl/>
        <w:autoSpaceDE/>
        <w:autoSpaceDN/>
        <w:adjustRightInd/>
        <w:spacing w:after="0"/>
        <w:contextualSpacing/>
        <w:rPr>
          <w:rFonts w:ascii="Arial" w:eastAsia="Calibri" w:hAnsi="Arial" w:cs="Arial"/>
          <w:color w:val="0000FF"/>
          <w:u w:val="single"/>
        </w:rPr>
      </w:pPr>
    </w:p>
    <w:p w14:paraId="79361B02" w14:textId="2BB70394" w:rsidR="009F64C8" w:rsidRDefault="009F64C8" w:rsidP="005A4665">
      <w:pPr>
        <w:widowControl/>
        <w:autoSpaceDE/>
        <w:autoSpaceDN/>
        <w:adjustRightInd/>
        <w:spacing w:after="0"/>
        <w:contextualSpacing/>
        <w:rPr>
          <w:rFonts w:ascii="Arial" w:eastAsia="Calibri" w:hAnsi="Arial" w:cs="Arial"/>
          <w:color w:val="0000FF"/>
          <w:u w:val="single"/>
        </w:rPr>
      </w:pPr>
    </w:p>
    <w:p w14:paraId="27111551" w14:textId="556B8204" w:rsidR="009F64C8" w:rsidRDefault="009F64C8" w:rsidP="005A4665">
      <w:pPr>
        <w:widowControl/>
        <w:autoSpaceDE/>
        <w:autoSpaceDN/>
        <w:adjustRightInd/>
        <w:spacing w:after="0"/>
        <w:contextualSpacing/>
        <w:rPr>
          <w:rFonts w:ascii="Arial" w:eastAsia="Calibri" w:hAnsi="Arial" w:cs="Arial"/>
          <w:color w:val="0000FF"/>
          <w:u w:val="single"/>
        </w:rPr>
      </w:pPr>
    </w:p>
    <w:p w14:paraId="1867B922" w14:textId="77777777" w:rsidR="009F64C8" w:rsidRDefault="009F64C8" w:rsidP="005A4665">
      <w:pPr>
        <w:widowControl/>
        <w:autoSpaceDE/>
        <w:autoSpaceDN/>
        <w:adjustRightInd/>
        <w:spacing w:after="0"/>
        <w:contextualSpacing/>
        <w:rPr>
          <w:rFonts w:ascii="Arial" w:eastAsia="Calibri" w:hAnsi="Arial" w:cs="Arial"/>
          <w:color w:val="0000FF"/>
          <w:u w:val="single"/>
        </w:rPr>
      </w:pPr>
    </w:p>
    <w:p w14:paraId="05CAECD6" w14:textId="5164955C" w:rsidR="005A4665" w:rsidRDefault="008368B5" w:rsidP="005A4665">
      <w:pPr>
        <w:widowControl/>
        <w:autoSpaceDE/>
        <w:autoSpaceDN/>
        <w:adjustRightInd/>
        <w:spacing w:after="0"/>
        <w:contextualSpacing/>
        <w:rPr>
          <w:rFonts w:ascii="Arial" w:eastAsia="Calibri" w:hAnsi="Arial" w:cs="Arial"/>
          <w:color w:val="0000FF"/>
          <w:u w:val="single"/>
        </w:rPr>
      </w:pPr>
      <w:r>
        <w:rPr>
          <w:rFonts w:ascii="Arial" w:hAnsi="Arial" w:cs="Arial"/>
          <w:b/>
          <w:bCs/>
          <w:iCs/>
          <w:noProof/>
          <w:color w:val="005BBB"/>
          <w:szCs w:val="24"/>
        </w:rPr>
        <w:lastRenderedPageBreak/>
        <mc:AlternateContent>
          <mc:Choice Requires="wps">
            <w:drawing>
              <wp:anchor distT="0" distB="0" distL="114300" distR="114300" simplePos="0" relativeHeight="251665408" behindDoc="0" locked="0" layoutInCell="1" allowOverlap="1" wp14:anchorId="1AC2BDF8" wp14:editId="3BFE9AE0">
                <wp:simplePos x="0" y="0"/>
                <wp:positionH relativeFrom="column">
                  <wp:posOffset>0</wp:posOffset>
                </wp:positionH>
                <wp:positionV relativeFrom="paragraph">
                  <wp:posOffset>0</wp:posOffset>
                </wp:positionV>
                <wp:extent cx="6795654" cy="325581"/>
                <wp:effectExtent l="0" t="0" r="24765" b="17780"/>
                <wp:wrapNone/>
                <wp:docPr id="8" name="Rectangle 8"/>
                <wp:cNvGraphicFramePr/>
                <a:graphic xmlns:a="http://schemas.openxmlformats.org/drawingml/2006/main">
                  <a:graphicData uri="http://schemas.microsoft.com/office/word/2010/wordprocessingShape">
                    <wps:wsp>
                      <wps:cNvSpPr/>
                      <wps:spPr>
                        <a:xfrm>
                          <a:off x="0" y="0"/>
                          <a:ext cx="6795654" cy="325581"/>
                        </a:xfrm>
                        <a:prstGeom prst="rect">
                          <a:avLst/>
                        </a:prstGeom>
                        <a:solidFill>
                          <a:srgbClr val="005BB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1A8E67" w14:textId="3FC0BB58" w:rsidR="008368B5" w:rsidRPr="008368B5" w:rsidRDefault="008368B5" w:rsidP="008368B5">
                            <w:pPr>
                              <w:rPr>
                                <w:rFonts w:ascii="Arial" w:hAnsi="Arial" w:cs="Arial"/>
                                <w:b/>
                                <w:bCs/>
                                <w:sz w:val="32"/>
                                <w:szCs w:val="32"/>
                              </w:rPr>
                            </w:pPr>
                            <w:r>
                              <w:rPr>
                                <w:rFonts w:ascii="Arial" w:hAnsi="Arial" w:cs="Arial"/>
                                <w:b/>
                                <w:bCs/>
                                <w:sz w:val="32"/>
                                <w:szCs w:val="32"/>
                              </w:rPr>
                              <w:t>Resources from AICPA’s EAQ initiative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2BDF8" id="Rectangle 8" o:spid="_x0000_s1029" style="position:absolute;margin-left:0;margin-top:0;width:535.1pt;height:25.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" fillcolor="#005bbb" strokecolor="#0d395d [1604]" strokeweight="1pt">
                <v:textbox>
                  <w:txbxContent>
                    <w:p w14:paraId="331A8E67" w14:textId="3FC0BB58" w:rsidR="008368B5" w:rsidRPr="008368B5" w:rsidRDefault="008368B5" w:rsidP="008368B5">
                      <w:pPr>
                        <w:rPr>
                          <w:rFonts w:ascii="Arial" w:hAnsi="Arial" w:cs="Arial"/>
                          <w:b/>
                          <w:bCs/>
                          <w:sz w:val="32"/>
                          <w:szCs w:val="32"/>
                        </w:rPr>
                      </w:pPr>
                      <w:r>
                        <w:rPr>
                          <w:rFonts w:ascii="Arial" w:hAnsi="Arial" w:cs="Arial"/>
                          <w:b/>
                          <w:bCs/>
                          <w:sz w:val="32"/>
                          <w:szCs w:val="32"/>
                        </w:rPr>
                        <w:t>Resources from AICPA’s EAQ initiative</w:t>
                      </w:r>
                    </w:p>
                  </w:txbxContent>
                </v:textbox>
              </v:rect>
            </w:pict>
          </mc:Fallback>
        </mc:AlternateContent>
      </w:r>
    </w:p>
    <w:p w14:paraId="0EFB2078" w14:textId="53195536" w:rsidR="005A4665" w:rsidRDefault="005A4665" w:rsidP="005A4665">
      <w:pPr>
        <w:widowControl/>
        <w:autoSpaceDE/>
        <w:autoSpaceDN/>
        <w:adjustRightInd/>
        <w:spacing w:after="0"/>
        <w:contextualSpacing/>
        <w:rPr>
          <w:rFonts w:ascii="Arial" w:eastAsia="Calibri" w:hAnsi="Arial" w:cs="Arial"/>
          <w:color w:val="0000FF"/>
          <w:u w:val="single"/>
        </w:rPr>
      </w:pPr>
    </w:p>
    <w:p w14:paraId="27C566BD" w14:textId="6DCA54EA" w:rsidR="00B2509B" w:rsidRDefault="00B2509B" w:rsidP="004214ED">
      <w:pPr>
        <w:pStyle w:val="NoSpacing"/>
        <w:rPr>
          <w:noProof/>
        </w:rPr>
      </w:pPr>
    </w:p>
    <w:p w14:paraId="1F7628FE" w14:textId="77777777" w:rsidR="000232A5" w:rsidRPr="000232A5" w:rsidRDefault="000232A5" w:rsidP="000232A5">
      <w:pPr>
        <w:widowControl/>
        <w:autoSpaceDE/>
        <w:autoSpaceDN/>
        <w:adjustRightInd/>
        <w:spacing w:after="0"/>
        <w:rPr>
          <w:rFonts w:ascii="Arial" w:hAnsi="Arial" w:cs="Arial"/>
        </w:rPr>
      </w:pPr>
      <w:r w:rsidRPr="000232A5">
        <w:rPr>
          <w:rFonts w:ascii="Arial" w:hAnsi="Arial" w:cs="Arial"/>
        </w:rPr>
        <w:t xml:space="preserve">Through the </w:t>
      </w:r>
      <w:hyperlink r:id="rId37" w:history="1">
        <w:r w:rsidRPr="00D15BA1">
          <w:rPr>
            <w:rFonts w:ascii="Arial" w:hAnsi="Arial" w:cs="Arial"/>
            <w:color w:val="2E72FF" w:themeColor="text2" w:themeTint="80"/>
            <w:u w:val="single"/>
          </w:rPr>
          <w:t>Enhancing Audit Quality Initiative (EAQ)</w:t>
        </w:r>
      </w:hyperlink>
      <w:r w:rsidRPr="000232A5">
        <w:rPr>
          <w:rFonts w:ascii="Arial" w:hAnsi="Arial" w:cs="Arial"/>
        </w:rPr>
        <w:t>, the AICPA shares resources and education to help you avoid the most common audit quality issues. Check out their latest resources:</w:t>
      </w:r>
    </w:p>
    <w:p w14:paraId="130F49F4" w14:textId="77777777" w:rsidR="000232A5" w:rsidRPr="000232A5" w:rsidRDefault="000232A5" w:rsidP="000232A5">
      <w:pPr>
        <w:widowControl/>
        <w:autoSpaceDE/>
        <w:autoSpaceDN/>
        <w:adjustRightInd/>
        <w:spacing w:after="0"/>
        <w:rPr>
          <w:rFonts w:ascii="Arial" w:hAnsi="Arial" w:cs="Arial"/>
          <w:b/>
          <w:bCs/>
          <w:iCs/>
          <w:color w:val="005BBB"/>
        </w:rPr>
      </w:pPr>
    </w:p>
    <w:p w14:paraId="4C94D986" w14:textId="68CF23B5" w:rsidR="000232A5" w:rsidRPr="000232A5" w:rsidRDefault="00354D0C" w:rsidP="000232A5">
      <w:pPr>
        <w:widowControl/>
        <w:autoSpaceDE/>
        <w:autoSpaceDN/>
        <w:adjustRightInd/>
        <w:spacing w:after="0"/>
        <w:rPr>
          <w:rFonts w:ascii="Arial" w:hAnsi="Arial" w:cs="Arial"/>
          <w:b/>
          <w:bCs/>
          <w:iCs/>
          <w:color w:val="005BBB"/>
          <w:sz w:val="24"/>
          <w:szCs w:val="24"/>
        </w:rPr>
      </w:pPr>
      <w:r w:rsidRPr="00AE0435">
        <w:rPr>
          <w:rFonts w:ascii="Arial" w:hAnsi="Arial" w:cs="Arial"/>
          <w:b/>
          <w:bCs/>
          <w:iCs/>
          <w:noProof/>
          <w:color w:val="005BBB"/>
          <w:sz w:val="24"/>
          <w:szCs w:val="24"/>
        </w:rPr>
        <w:drawing>
          <wp:anchor distT="0" distB="0" distL="114300" distR="114300" simplePos="0" relativeHeight="251621888" behindDoc="1" locked="0" layoutInCell="1" allowOverlap="1" wp14:anchorId="5109B672" wp14:editId="4DC8ADEB">
            <wp:simplePos x="0" y="0"/>
            <wp:positionH relativeFrom="column">
              <wp:posOffset>4644390</wp:posOffset>
            </wp:positionH>
            <wp:positionV relativeFrom="paragraph">
              <wp:posOffset>129540</wp:posOffset>
            </wp:positionV>
            <wp:extent cx="2475865" cy="2425700"/>
            <wp:effectExtent l="0" t="0" r="635" b="0"/>
            <wp:wrapTight wrapText="bothSides">
              <wp:wrapPolygon edited="0">
                <wp:start x="0" y="0"/>
                <wp:lineTo x="0" y="21374"/>
                <wp:lineTo x="21439" y="21374"/>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5865" cy="2425700"/>
                    </a:xfrm>
                    <a:prstGeom prst="rect">
                      <a:avLst/>
                    </a:prstGeom>
                    <a:noFill/>
                  </pic:spPr>
                </pic:pic>
              </a:graphicData>
            </a:graphic>
            <wp14:sizeRelH relativeFrom="page">
              <wp14:pctWidth>0</wp14:pctWidth>
            </wp14:sizeRelH>
            <wp14:sizeRelV relativeFrom="page">
              <wp14:pctHeight>0</wp14:pctHeight>
            </wp14:sizeRelV>
          </wp:anchor>
        </w:drawing>
      </w:r>
      <w:r w:rsidR="000232A5" w:rsidRPr="000232A5">
        <w:rPr>
          <w:rFonts w:ascii="Arial" w:hAnsi="Arial" w:cs="Arial"/>
          <w:b/>
          <w:bCs/>
          <w:iCs/>
          <w:color w:val="005BBB"/>
          <w:sz w:val="24"/>
          <w:szCs w:val="24"/>
        </w:rPr>
        <w:t>COVID-19 Audit Implications</w:t>
      </w:r>
    </w:p>
    <w:p w14:paraId="0569D940" w14:textId="66CCEDA1" w:rsidR="000232A5" w:rsidRPr="000232A5" w:rsidRDefault="000232A5" w:rsidP="000232A5">
      <w:pPr>
        <w:widowControl/>
        <w:autoSpaceDE/>
        <w:autoSpaceDN/>
        <w:adjustRightInd/>
        <w:spacing w:after="0"/>
        <w:rPr>
          <w:rFonts w:ascii="Arial" w:hAnsi="Arial" w:cs="Arial"/>
          <w:b/>
          <w:bCs/>
          <w:iCs/>
          <w:color w:val="005BBB"/>
          <w:sz w:val="8"/>
          <w:szCs w:val="8"/>
        </w:rPr>
      </w:pPr>
    </w:p>
    <w:p w14:paraId="48C0317C" w14:textId="77711069" w:rsidR="000232A5" w:rsidRPr="000232A5" w:rsidRDefault="000232A5" w:rsidP="00793AEE">
      <w:pPr>
        <w:widowControl/>
        <w:autoSpaceDE/>
        <w:autoSpaceDN/>
        <w:adjustRightInd/>
        <w:spacing w:after="120"/>
        <w:rPr>
          <w:rFonts w:ascii="Arial" w:hAnsi="Arial" w:cs="Arial"/>
        </w:rPr>
      </w:pPr>
      <w:r w:rsidRPr="000232A5">
        <w:rPr>
          <w:rFonts w:ascii="Arial" w:hAnsi="Arial" w:cs="Arial"/>
        </w:rPr>
        <w:t xml:space="preserve">As auditors navigate the challenges presented by the COVID-19 pandemic, the AICPA is available to help. The A&amp;A resource center at </w:t>
      </w:r>
      <w:hyperlink r:id="rId39" w:history="1">
        <w:r w:rsidRPr="00D15BA1">
          <w:rPr>
            <w:rFonts w:ascii="Arial" w:hAnsi="Arial" w:cs="Arial"/>
            <w:color w:val="2E72FF" w:themeColor="text2" w:themeTint="80"/>
            <w:u w:val="single"/>
          </w:rPr>
          <w:t>aicpa.org/covidaudit</w:t>
        </w:r>
      </w:hyperlink>
      <w:r w:rsidRPr="000232A5">
        <w:rPr>
          <w:rFonts w:ascii="Arial" w:hAnsi="Arial" w:cs="Arial"/>
        </w:rPr>
        <w:t xml:space="preserve"> is updated periodically to help you with your audit engagements that are impacted by the pandemic. Here are a few resources EAQ launched since the Spring:</w:t>
      </w:r>
    </w:p>
    <w:p w14:paraId="310FD000" w14:textId="65B381D0" w:rsidR="000232A5" w:rsidRPr="000232A5" w:rsidRDefault="000232A5" w:rsidP="00793AEE">
      <w:pPr>
        <w:widowControl/>
        <w:numPr>
          <w:ilvl w:val="0"/>
          <w:numId w:val="16"/>
        </w:numPr>
        <w:autoSpaceDE/>
        <w:autoSpaceDN/>
        <w:adjustRightInd/>
        <w:spacing w:after="120"/>
        <w:contextualSpacing/>
        <w:rPr>
          <w:rFonts w:ascii="Arial" w:hAnsi="Arial" w:cs="Arial"/>
        </w:rPr>
      </w:pPr>
      <w:r w:rsidRPr="000232A5">
        <w:rPr>
          <w:rFonts w:ascii="Arial" w:hAnsi="Arial" w:cs="Arial"/>
        </w:rPr>
        <w:t xml:space="preserve">EBP </w:t>
      </w:r>
      <w:hyperlink r:id="rId40" w:history="1">
        <w:r w:rsidRPr="00D15BA1">
          <w:rPr>
            <w:rFonts w:ascii="Arial" w:hAnsi="Arial" w:cs="Arial"/>
            <w:color w:val="2E72FF" w:themeColor="text2" w:themeTint="80"/>
            <w:u w:val="single"/>
          </w:rPr>
          <w:t>article</w:t>
        </w:r>
      </w:hyperlink>
      <w:r w:rsidRPr="00D15BA1">
        <w:rPr>
          <w:rFonts w:ascii="Arial" w:hAnsi="Arial" w:cs="Arial"/>
          <w:color w:val="2E72FF" w:themeColor="text2" w:themeTint="80"/>
        </w:rPr>
        <w:t xml:space="preserve"> </w:t>
      </w:r>
      <w:r w:rsidRPr="000232A5">
        <w:rPr>
          <w:rFonts w:ascii="Arial" w:hAnsi="Arial" w:cs="Arial"/>
        </w:rPr>
        <w:t>covering documentation challenges, best practices and pandemic considerations for EBP audits from the Journal of Accountancy.</w:t>
      </w:r>
    </w:p>
    <w:p w14:paraId="46AB6A4A" w14:textId="77777777" w:rsidR="000232A5" w:rsidRPr="000232A5" w:rsidRDefault="000232A5" w:rsidP="00793AEE">
      <w:pPr>
        <w:widowControl/>
        <w:numPr>
          <w:ilvl w:val="0"/>
          <w:numId w:val="16"/>
        </w:numPr>
        <w:autoSpaceDE/>
        <w:autoSpaceDN/>
        <w:adjustRightInd/>
        <w:spacing w:after="120"/>
        <w:contextualSpacing/>
        <w:rPr>
          <w:rFonts w:ascii="Arial" w:hAnsi="Arial" w:cs="Arial"/>
        </w:rPr>
      </w:pPr>
      <w:r w:rsidRPr="000232A5">
        <w:rPr>
          <w:rFonts w:ascii="Arial" w:hAnsi="Arial" w:cs="Arial"/>
        </w:rPr>
        <w:t xml:space="preserve">Single audit </w:t>
      </w:r>
      <w:hyperlink r:id="rId41" w:history="1">
        <w:r w:rsidRPr="00D15BA1">
          <w:rPr>
            <w:rFonts w:ascii="Arial" w:hAnsi="Arial" w:cs="Arial"/>
            <w:color w:val="2E72FF" w:themeColor="text2" w:themeTint="80"/>
            <w:u w:val="single"/>
          </w:rPr>
          <w:t>blog</w:t>
        </w:r>
      </w:hyperlink>
      <w:r w:rsidRPr="00D15BA1">
        <w:rPr>
          <w:rFonts w:ascii="Arial" w:hAnsi="Arial" w:cs="Arial"/>
          <w:color w:val="2E72FF" w:themeColor="text2" w:themeTint="80"/>
        </w:rPr>
        <w:t xml:space="preserve"> </w:t>
      </w:r>
      <w:r w:rsidRPr="000232A5">
        <w:rPr>
          <w:rFonts w:ascii="Arial" w:hAnsi="Arial" w:cs="Arial"/>
        </w:rPr>
        <w:t>highlighting tips for working with first-time single audit clients.</w:t>
      </w:r>
    </w:p>
    <w:p w14:paraId="39196E01" w14:textId="77777777" w:rsidR="000232A5" w:rsidRPr="000232A5" w:rsidRDefault="000232A5" w:rsidP="00793AEE">
      <w:pPr>
        <w:widowControl/>
        <w:numPr>
          <w:ilvl w:val="0"/>
          <w:numId w:val="23"/>
        </w:numPr>
        <w:autoSpaceDE/>
        <w:autoSpaceDN/>
        <w:adjustRightInd/>
        <w:spacing w:after="120"/>
        <w:contextualSpacing/>
        <w:rPr>
          <w:rFonts w:ascii="Arial" w:hAnsi="Arial" w:cs="Arial"/>
        </w:rPr>
      </w:pPr>
      <w:r w:rsidRPr="000232A5">
        <w:rPr>
          <w:rFonts w:ascii="Arial" w:hAnsi="Arial" w:cs="Arial"/>
        </w:rPr>
        <w:t xml:space="preserve">Fraud risk </w:t>
      </w:r>
      <w:hyperlink r:id="rId42" w:history="1">
        <w:r w:rsidRPr="00D15BA1">
          <w:rPr>
            <w:rFonts w:ascii="Arial" w:hAnsi="Arial" w:cs="Arial"/>
            <w:color w:val="2E72FF" w:themeColor="text2" w:themeTint="80"/>
            <w:u w:val="single"/>
          </w:rPr>
          <w:t>webcast</w:t>
        </w:r>
      </w:hyperlink>
      <w:r w:rsidRPr="00D15BA1">
        <w:rPr>
          <w:rFonts w:ascii="Arial" w:hAnsi="Arial" w:cs="Arial"/>
          <w:color w:val="2E72FF" w:themeColor="text2" w:themeTint="80"/>
        </w:rPr>
        <w:t xml:space="preserve"> </w:t>
      </w:r>
      <w:r w:rsidRPr="000232A5">
        <w:rPr>
          <w:rFonts w:ascii="Arial" w:hAnsi="Arial" w:cs="Arial"/>
        </w:rPr>
        <w:t>covering the financial impact of COVID-19 pandemic on clients to help auditors understand their responsibilities and how to respond to these risks.</w:t>
      </w:r>
    </w:p>
    <w:p w14:paraId="71589D2F" w14:textId="2931712A" w:rsidR="00244EBF" w:rsidRPr="000232A5" w:rsidRDefault="000232A5" w:rsidP="00793AEE">
      <w:pPr>
        <w:widowControl/>
        <w:numPr>
          <w:ilvl w:val="0"/>
          <w:numId w:val="23"/>
        </w:numPr>
        <w:autoSpaceDE/>
        <w:autoSpaceDN/>
        <w:adjustRightInd/>
        <w:spacing w:after="120"/>
        <w:rPr>
          <w:rFonts w:ascii="Arial" w:hAnsi="Arial" w:cs="Arial"/>
        </w:rPr>
      </w:pPr>
      <w:r w:rsidRPr="000232A5">
        <w:rPr>
          <w:rFonts w:ascii="Arial" w:hAnsi="Arial" w:cs="Arial"/>
        </w:rPr>
        <w:t xml:space="preserve">Remote auditing </w:t>
      </w:r>
      <w:hyperlink r:id="rId43" w:history="1">
        <w:r w:rsidRPr="00D15BA1">
          <w:rPr>
            <w:rFonts w:ascii="Arial" w:hAnsi="Arial" w:cs="Arial"/>
            <w:color w:val="2E72FF" w:themeColor="text2" w:themeTint="80"/>
            <w:u w:val="single"/>
          </w:rPr>
          <w:t>course</w:t>
        </w:r>
      </w:hyperlink>
      <w:r w:rsidRPr="00D15BA1">
        <w:rPr>
          <w:rFonts w:ascii="Arial" w:hAnsi="Arial" w:cs="Arial"/>
          <w:color w:val="2E72FF" w:themeColor="text2" w:themeTint="80"/>
        </w:rPr>
        <w:t xml:space="preserve"> </w:t>
      </w:r>
      <w:r w:rsidRPr="000232A5">
        <w:rPr>
          <w:rFonts w:ascii="Arial" w:hAnsi="Arial" w:cs="Arial"/>
        </w:rPr>
        <w:t>addressing risks and best practices when conducting audit procedures virtually.</w:t>
      </w:r>
    </w:p>
    <w:p w14:paraId="06352605" w14:textId="2CB9190E" w:rsidR="000232A5" w:rsidRPr="000232A5" w:rsidRDefault="000232A5" w:rsidP="000232A5">
      <w:pPr>
        <w:widowControl/>
        <w:autoSpaceDE/>
        <w:autoSpaceDN/>
        <w:adjustRightInd/>
        <w:spacing w:after="0"/>
        <w:rPr>
          <w:rFonts w:ascii="Arial" w:hAnsi="Arial" w:cs="Arial"/>
          <w:b/>
          <w:bCs/>
          <w:iCs/>
          <w:color w:val="005BBB"/>
          <w:sz w:val="24"/>
          <w:szCs w:val="24"/>
        </w:rPr>
      </w:pPr>
      <w:r w:rsidRPr="000232A5">
        <w:rPr>
          <w:rFonts w:ascii="Arial" w:hAnsi="Arial" w:cs="Arial"/>
          <w:b/>
          <w:bCs/>
          <w:iCs/>
          <w:color w:val="005BBB"/>
          <w:sz w:val="24"/>
          <w:szCs w:val="24"/>
        </w:rPr>
        <w:t>Risk Assessment and Response</w:t>
      </w:r>
    </w:p>
    <w:p w14:paraId="40004471" w14:textId="04CC55B9" w:rsidR="000232A5" w:rsidRPr="000232A5" w:rsidRDefault="000232A5" w:rsidP="000232A5">
      <w:pPr>
        <w:widowControl/>
        <w:autoSpaceDE/>
        <w:autoSpaceDN/>
        <w:adjustRightInd/>
        <w:spacing w:after="0"/>
        <w:rPr>
          <w:rFonts w:ascii="Arial" w:hAnsi="Arial" w:cs="Arial"/>
          <w:sz w:val="8"/>
          <w:szCs w:val="8"/>
        </w:rPr>
      </w:pPr>
    </w:p>
    <w:p w14:paraId="654E667C" w14:textId="77777777" w:rsidR="000232A5" w:rsidRPr="000232A5" w:rsidRDefault="000232A5" w:rsidP="000232A5">
      <w:pPr>
        <w:widowControl/>
        <w:autoSpaceDE/>
        <w:autoSpaceDN/>
        <w:adjustRightInd/>
        <w:spacing w:after="0"/>
        <w:rPr>
          <w:rFonts w:ascii="Arial" w:hAnsi="Arial" w:cs="Arial"/>
        </w:rPr>
      </w:pPr>
      <w:r w:rsidRPr="000232A5">
        <w:rPr>
          <w:rFonts w:ascii="Arial" w:hAnsi="Arial" w:cs="Arial"/>
        </w:rPr>
        <w:t xml:space="preserve">AICPA developed a new </w:t>
      </w:r>
      <w:hyperlink r:id="rId44" w:history="1">
        <w:r w:rsidRPr="009F64C8">
          <w:rPr>
            <w:rFonts w:ascii="Arial" w:hAnsi="Arial" w:cs="Arial"/>
            <w:color w:val="2E72FF" w:themeColor="text2" w:themeTint="80"/>
            <w:u w:val="single"/>
          </w:rPr>
          <w:t>course</w:t>
        </w:r>
      </w:hyperlink>
      <w:r w:rsidRPr="009F64C8">
        <w:rPr>
          <w:rFonts w:ascii="Arial" w:hAnsi="Arial" w:cs="Arial"/>
          <w:color w:val="2E72FF" w:themeColor="text2" w:themeTint="80"/>
        </w:rPr>
        <w:t xml:space="preserve"> </w:t>
      </w:r>
      <w:r w:rsidRPr="000232A5">
        <w:rPr>
          <w:rFonts w:ascii="Arial" w:hAnsi="Arial" w:cs="Arial"/>
        </w:rPr>
        <w:t>to respond to peer review findings relative to SOC report reliance.</w:t>
      </w:r>
    </w:p>
    <w:p w14:paraId="0BBE8F2C" w14:textId="54F1BBB7" w:rsidR="000232A5" w:rsidRPr="000232A5" w:rsidRDefault="000232A5" w:rsidP="000232A5">
      <w:pPr>
        <w:widowControl/>
        <w:autoSpaceDE/>
        <w:autoSpaceDN/>
        <w:adjustRightInd/>
        <w:spacing w:after="0"/>
        <w:rPr>
          <w:rFonts w:ascii="Arial" w:hAnsi="Arial" w:cs="Arial"/>
        </w:rPr>
      </w:pPr>
    </w:p>
    <w:p w14:paraId="28874295" w14:textId="245DA2AF" w:rsidR="000232A5" w:rsidRPr="000232A5" w:rsidRDefault="000232A5" w:rsidP="000232A5">
      <w:pPr>
        <w:widowControl/>
        <w:autoSpaceDE/>
        <w:autoSpaceDN/>
        <w:adjustRightInd/>
        <w:spacing w:after="0"/>
        <w:rPr>
          <w:rFonts w:ascii="Arial" w:hAnsi="Arial" w:cs="Arial"/>
          <w:b/>
          <w:bCs/>
          <w:iCs/>
          <w:color w:val="005BBB"/>
          <w:sz w:val="24"/>
          <w:szCs w:val="24"/>
        </w:rPr>
      </w:pPr>
      <w:r w:rsidRPr="000232A5">
        <w:rPr>
          <w:rFonts w:ascii="Arial" w:hAnsi="Arial" w:cs="Arial"/>
          <w:b/>
          <w:bCs/>
          <w:iCs/>
          <w:color w:val="005BBB"/>
          <w:sz w:val="24"/>
          <w:szCs w:val="24"/>
        </w:rPr>
        <w:t>Other EAQ Updates</w:t>
      </w:r>
    </w:p>
    <w:p w14:paraId="68121F6D" w14:textId="6419E435" w:rsidR="000232A5" w:rsidRPr="000232A5" w:rsidRDefault="000232A5" w:rsidP="000232A5">
      <w:pPr>
        <w:widowControl/>
        <w:autoSpaceDE/>
        <w:autoSpaceDN/>
        <w:adjustRightInd/>
        <w:spacing w:after="0"/>
        <w:rPr>
          <w:rFonts w:ascii="Arial" w:hAnsi="Arial" w:cs="Arial"/>
          <w:sz w:val="8"/>
          <w:szCs w:val="8"/>
        </w:rPr>
      </w:pPr>
    </w:p>
    <w:p w14:paraId="1A4C7583" w14:textId="4ACD7FBB" w:rsidR="000232A5" w:rsidRPr="000232A5" w:rsidRDefault="000232A5" w:rsidP="00793AEE">
      <w:pPr>
        <w:widowControl/>
        <w:autoSpaceDE/>
        <w:autoSpaceDN/>
        <w:adjustRightInd/>
        <w:spacing w:after="120"/>
        <w:rPr>
          <w:rFonts w:ascii="Arial" w:hAnsi="Arial" w:cs="Arial"/>
        </w:rPr>
      </w:pPr>
      <w:r w:rsidRPr="000232A5">
        <w:rPr>
          <w:rFonts w:ascii="Arial" w:hAnsi="Arial" w:cs="Arial"/>
        </w:rPr>
        <w:t>The 2022 EAQ Areas of Focus were selected by a group of technical committee chairs and internal subject matter experts. Those areas will be:</w:t>
      </w:r>
    </w:p>
    <w:p w14:paraId="0244DF10" w14:textId="3611E586" w:rsidR="000232A5" w:rsidRPr="000232A5" w:rsidRDefault="000232A5" w:rsidP="000232A5">
      <w:pPr>
        <w:widowControl/>
        <w:autoSpaceDE/>
        <w:autoSpaceDN/>
        <w:adjustRightInd/>
        <w:spacing w:after="0"/>
        <w:rPr>
          <w:rFonts w:ascii="Arial" w:hAnsi="Arial" w:cs="Arial"/>
        </w:rPr>
      </w:pPr>
    </w:p>
    <w:p w14:paraId="272E0C55" w14:textId="0A25E158" w:rsidR="000232A5" w:rsidRPr="000232A5" w:rsidRDefault="000232A5" w:rsidP="00793AEE">
      <w:pPr>
        <w:widowControl/>
        <w:numPr>
          <w:ilvl w:val="0"/>
          <w:numId w:val="44"/>
        </w:numPr>
        <w:tabs>
          <w:tab w:val="left" w:pos="3330"/>
        </w:tabs>
        <w:autoSpaceDE/>
        <w:autoSpaceDN/>
        <w:adjustRightInd/>
        <w:spacing w:after="0"/>
        <w:rPr>
          <w:rFonts w:ascii="Arial" w:hAnsi="Arial" w:cs="Arial"/>
        </w:rPr>
      </w:pPr>
      <w:r w:rsidRPr="000232A5">
        <w:rPr>
          <w:rFonts w:ascii="Arial" w:hAnsi="Arial" w:cs="Arial"/>
        </w:rPr>
        <w:t>Audit evidence (including auditing remotely)</w:t>
      </w:r>
    </w:p>
    <w:p w14:paraId="2C9BD01B" w14:textId="2DD84F75" w:rsidR="000232A5" w:rsidRPr="000232A5" w:rsidRDefault="000232A5" w:rsidP="00793AEE">
      <w:pPr>
        <w:widowControl/>
        <w:numPr>
          <w:ilvl w:val="0"/>
          <w:numId w:val="44"/>
        </w:numPr>
        <w:tabs>
          <w:tab w:val="left" w:pos="3330"/>
        </w:tabs>
        <w:autoSpaceDE/>
        <w:autoSpaceDN/>
        <w:adjustRightInd/>
        <w:spacing w:after="0"/>
        <w:rPr>
          <w:rFonts w:ascii="Arial" w:hAnsi="Arial" w:cs="Arial"/>
        </w:rPr>
      </w:pPr>
      <w:r w:rsidRPr="000232A5">
        <w:rPr>
          <w:rFonts w:ascii="Arial" w:hAnsi="Arial" w:cs="Arial"/>
        </w:rPr>
        <w:t>Single audit</w:t>
      </w:r>
    </w:p>
    <w:p w14:paraId="708B6144" w14:textId="7856B7F4" w:rsidR="000232A5" w:rsidRPr="000232A5" w:rsidRDefault="000232A5" w:rsidP="00793AEE">
      <w:pPr>
        <w:widowControl/>
        <w:numPr>
          <w:ilvl w:val="0"/>
          <w:numId w:val="44"/>
        </w:numPr>
        <w:tabs>
          <w:tab w:val="left" w:pos="3330"/>
        </w:tabs>
        <w:autoSpaceDE/>
        <w:autoSpaceDN/>
        <w:adjustRightInd/>
        <w:spacing w:after="0"/>
        <w:rPr>
          <w:rFonts w:ascii="Arial" w:hAnsi="Arial" w:cs="Arial"/>
        </w:rPr>
      </w:pPr>
      <w:r w:rsidRPr="000232A5">
        <w:rPr>
          <w:rFonts w:ascii="Arial" w:hAnsi="Arial" w:cs="Arial"/>
        </w:rPr>
        <w:t xml:space="preserve">Risk assessment and response </w:t>
      </w:r>
    </w:p>
    <w:p w14:paraId="2E1F5628" w14:textId="337FE6AE" w:rsidR="000232A5" w:rsidRPr="000232A5" w:rsidRDefault="000232A5" w:rsidP="00793AEE">
      <w:pPr>
        <w:widowControl/>
        <w:numPr>
          <w:ilvl w:val="0"/>
          <w:numId w:val="44"/>
        </w:numPr>
        <w:tabs>
          <w:tab w:val="left" w:pos="3330"/>
        </w:tabs>
        <w:autoSpaceDE/>
        <w:autoSpaceDN/>
        <w:adjustRightInd/>
        <w:spacing w:after="0"/>
        <w:rPr>
          <w:rFonts w:ascii="Arial" w:hAnsi="Arial" w:cs="Arial"/>
        </w:rPr>
      </w:pPr>
      <w:r w:rsidRPr="000232A5">
        <w:rPr>
          <w:rFonts w:ascii="Arial" w:hAnsi="Arial" w:cs="Arial"/>
        </w:rPr>
        <w:t>Auditing accounting estimates</w:t>
      </w:r>
    </w:p>
    <w:p w14:paraId="0338F81A" w14:textId="6888EBA5" w:rsidR="000232A5" w:rsidRPr="000232A5" w:rsidRDefault="000232A5" w:rsidP="00793AEE">
      <w:pPr>
        <w:widowControl/>
        <w:numPr>
          <w:ilvl w:val="0"/>
          <w:numId w:val="44"/>
        </w:numPr>
        <w:tabs>
          <w:tab w:val="left" w:pos="3330"/>
        </w:tabs>
        <w:autoSpaceDE/>
        <w:autoSpaceDN/>
        <w:adjustRightInd/>
        <w:spacing w:after="0"/>
        <w:rPr>
          <w:rFonts w:ascii="Arial" w:hAnsi="Arial" w:cs="Arial"/>
        </w:rPr>
      </w:pPr>
      <w:r w:rsidRPr="000232A5">
        <w:rPr>
          <w:rFonts w:ascii="Arial" w:hAnsi="Arial" w:cs="Arial"/>
        </w:rPr>
        <w:t>Environmental, Social and Governance (ESG) reporting</w:t>
      </w:r>
    </w:p>
    <w:p w14:paraId="3B92C06F" w14:textId="0A3A2510" w:rsidR="000232A5" w:rsidRPr="000232A5" w:rsidRDefault="000232A5" w:rsidP="00793AEE">
      <w:pPr>
        <w:widowControl/>
        <w:autoSpaceDE/>
        <w:autoSpaceDN/>
        <w:adjustRightInd/>
        <w:spacing w:after="120"/>
        <w:rPr>
          <w:rFonts w:ascii="Arial" w:hAnsi="Arial" w:cs="Arial"/>
        </w:rPr>
      </w:pPr>
    </w:p>
    <w:p w14:paraId="07ED24A4" w14:textId="277A0A63" w:rsidR="000232A5" w:rsidRDefault="000232A5" w:rsidP="00793AEE">
      <w:pPr>
        <w:widowControl/>
        <w:autoSpaceDE/>
        <w:autoSpaceDN/>
        <w:adjustRightInd/>
        <w:spacing w:after="120"/>
        <w:rPr>
          <w:rFonts w:ascii="Arial" w:hAnsi="Arial" w:cs="Arial"/>
        </w:rPr>
      </w:pPr>
      <w:r w:rsidRPr="000232A5">
        <w:rPr>
          <w:rFonts w:ascii="Arial" w:hAnsi="Arial" w:cs="Arial"/>
        </w:rPr>
        <w:t xml:space="preserve">The EAQ team recorded a </w:t>
      </w:r>
      <w:hyperlink r:id="rId45" w:history="1">
        <w:r w:rsidRPr="00D15BA1">
          <w:rPr>
            <w:rFonts w:ascii="Arial" w:hAnsi="Arial" w:cs="Arial"/>
            <w:color w:val="2E72FF" w:themeColor="text2" w:themeTint="80"/>
            <w:u w:val="single"/>
          </w:rPr>
          <w:t>podcast</w:t>
        </w:r>
      </w:hyperlink>
      <w:r w:rsidRPr="00D15BA1">
        <w:rPr>
          <w:rFonts w:ascii="Arial" w:hAnsi="Arial" w:cs="Arial"/>
          <w:color w:val="2E72FF" w:themeColor="text2" w:themeTint="80"/>
        </w:rPr>
        <w:t xml:space="preserve"> </w:t>
      </w:r>
      <w:r w:rsidRPr="000232A5">
        <w:rPr>
          <w:rFonts w:ascii="Arial" w:hAnsi="Arial" w:cs="Arial"/>
        </w:rPr>
        <w:t xml:space="preserve">for Ethically Speaking addressing the objectives of the initiative and issued their annual </w:t>
      </w:r>
      <w:hyperlink r:id="rId46" w:history="1">
        <w:r w:rsidRPr="00D15BA1">
          <w:rPr>
            <w:rFonts w:ascii="Arial" w:hAnsi="Arial" w:cs="Arial"/>
            <w:color w:val="2E72FF" w:themeColor="text2" w:themeTint="80"/>
            <w:u w:val="single"/>
          </w:rPr>
          <w:t>highlights report</w:t>
        </w:r>
      </w:hyperlink>
      <w:r w:rsidRPr="000232A5">
        <w:rPr>
          <w:rFonts w:ascii="Arial" w:hAnsi="Arial" w:cs="Arial"/>
        </w:rPr>
        <w:t xml:space="preserve"> detailing activities from the preceding year and pointing readers to available resources. </w:t>
      </w:r>
    </w:p>
    <w:p w14:paraId="0FED4837" w14:textId="77777777" w:rsidR="008368B5" w:rsidRPr="000232A5" w:rsidRDefault="008368B5" w:rsidP="000232A5">
      <w:pPr>
        <w:widowControl/>
        <w:autoSpaceDE/>
        <w:autoSpaceDN/>
        <w:adjustRightInd/>
        <w:spacing w:after="0"/>
        <w:rPr>
          <w:rFonts w:ascii="Arial" w:hAnsi="Arial" w:cs="Arial"/>
        </w:rPr>
      </w:pPr>
    </w:p>
    <w:p w14:paraId="06287DC3" w14:textId="0C802808" w:rsidR="00B2509B" w:rsidRDefault="008368B5" w:rsidP="004214ED">
      <w:pPr>
        <w:pStyle w:val="NoSpacing"/>
        <w:rPr>
          <w:noProof/>
        </w:rPr>
      </w:pPr>
      <w:r>
        <w:rPr>
          <w:rFonts w:ascii="Arial" w:hAnsi="Arial" w:cs="Arial"/>
          <w:b/>
          <w:bCs/>
          <w:iCs/>
          <w:noProof/>
          <w:color w:val="005BBB"/>
          <w:szCs w:val="24"/>
        </w:rPr>
        <mc:AlternateContent>
          <mc:Choice Requires="wps">
            <w:drawing>
              <wp:anchor distT="0" distB="0" distL="114300" distR="114300" simplePos="0" relativeHeight="251667456" behindDoc="0" locked="0" layoutInCell="1" allowOverlap="1" wp14:anchorId="2B8C7D98" wp14:editId="47BAFD05">
                <wp:simplePos x="0" y="0"/>
                <wp:positionH relativeFrom="column">
                  <wp:posOffset>0</wp:posOffset>
                </wp:positionH>
                <wp:positionV relativeFrom="paragraph">
                  <wp:posOffset>-635</wp:posOffset>
                </wp:positionV>
                <wp:extent cx="6795654" cy="325581"/>
                <wp:effectExtent l="0" t="0" r="24765" b="17780"/>
                <wp:wrapNone/>
                <wp:docPr id="9" name="Rectangle 9"/>
                <wp:cNvGraphicFramePr/>
                <a:graphic xmlns:a="http://schemas.openxmlformats.org/drawingml/2006/main">
                  <a:graphicData uri="http://schemas.microsoft.com/office/word/2010/wordprocessingShape">
                    <wps:wsp>
                      <wps:cNvSpPr/>
                      <wps:spPr>
                        <a:xfrm>
                          <a:off x="0" y="0"/>
                          <a:ext cx="6795654" cy="325581"/>
                        </a:xfrm>
                        <a:prstGeom prst="rect">
                          <a:avLst/>
                        </a:prstGeom>
                        <a:solidFill>
                          <a:srgbClr val="005BB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FE3AE9" w14:textId="1A577040" w:rsidR="008368B5" w:rsidRPr="008368B5" w:rsidRDefault="008368B5" w:rsidP="008368B5">
                            <w:pPr>
                              <w:rPr>
                                <w:rFonts w:ascii="Arial" w:hAnsi="Arial" w:cs="Arial"/>
                                <w:b/>
                                <w:bCs/>
                                <w:sz w:val="32"/>
                                <w:szCs w:val="32"/>
                              </w:rPr>
                            </w:pPr>
                            <w:r>
                              <w:rPr>
                                <w:rFonts w:ascii="Arial" w:hAnsi="Arial" w:cs="Arial"/>
                                <w:b/>
                                <w:bCs/>
                                <w:sz w:val="32"/>
                                <w:szCs w:val="32"/>
                              </w:rPr>
                              <w:t>Ethical Prompts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C7D98" id="Rectangle 9" o:spid="_x0000_s1030" style="position:absolute;margin-left:0;margin-top:-.05pt;width:535.1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" fillcolor="#005bbb" strokecolor="#0d395d [1604]" strokeweight="1pt">
                <v:textbox>
                  <w:txbxContent>
                    <w:p w14:paraId="71FE3AE9" w14:textId="1A577040" w:rsidR="008368B5" w:rsidRPr="008368B5" w:rsidRDefault="008368B5" w:rsidP="008368B5">
                      <w:pPr>
                        <w:rPr>
                          <w:rFonts w:ascii="Arial" w:hAnsi="Arial" w:cs="Arial"/>
                          <w:b/>
                          <w:bCs/>
                          <w:sz w:val="32"/>
                          <w:szCs w:val="32"/>
                        </w:rPr>
                      </w:pPr>
                      <w:r>
                        <w:rPr>
                          <w:rFonts w:ascii="Arial" w:hAnsi="Arial" w:cs="Arial"/>
                          <w:b/>
                          <w:bCs/>
                          <w:sz w:val="32"/>
                          <w:szCs w:val="32"/>
                        </w:rPr>
                        <w:t>Ethical Prompts</w:t>
                      </w:r>
                    </w:p>
                  </w:txbxContent>
                </v:textbox>
              </v:rect>
            </w:pict>
          </mc:Fallback>
        </mc:AlternateContent>
      </w:r>
    </w:p>
    <w:p w14:paraId="2E32B9BE" w14:textId="77777777" w:rsidR="008368B5" w:rsidRDefault="008368B5" w:rsidP="004214ED">
      <w:pPr>
        <w:pStyle w:val="NoSpacing"/>
        <w:rPr>
          <w:noProof/>
        </w:rPr>
      </w:pPr>
    </w:p>
    <w:bookmarkEnd w:id="1"/>
    <w:p w14:paraId="3D78A0C1" w14:textId="2208D853" w:rsidR="00DA18EE" w:rsidRPr="00AE0435" w:rsidRDefault="00DA18EE" w:rsidP="00574FB9">
      <w:pPr>
        <w:pStyle w:val="NoSpacing"/>
        <w:rPr>
          <w:rFonts w:ascii="Arial" w:hAnsi="Arial" w:cs="Arial"/>
          <w:szCs w:val="24"/>
        </w:rPr>
      </w:pPr>
    </w:p>
    <w:p w14:paraId="018946CC" w14:textId="77777777" w:rsidR="008C1F7C" w:rsidRPr="008C1F7C" w:rsidRDefault="008C1F7C" w:rsidP="008C1F7C">
      <w:pPr>
        <w:widowControl/>
        <w:autoSpaceDE/>
        <w:autoSpaceDN/>
        <w:adjustRightInd/>
        <w:spacing w:after="160" w:line="259" w:lineRule="auto"/>
        <w:rPr>
          <w:rFonts w:ascii="Arial" w:eastAsia="Calibri" w:hAnsi="Arial" w:cs="Arial"/>
          <w:b/>
          <w:bCs/>
          <w:color w:val="005BBB"/>
          <w:sz w:val="24"/>
          <w:szCs w:val="24"/>
        </w:rPr>
      </w:pPr>
      <w:r w:rsidRPr="008C1F7C">
        <w:rPr>
          <w:rFonts w:ascii="Arial" w:eastAsia="Calibri" w:hAnsi="Arial" w:cs="Arial"/>
          <w:b/>
          <w:bCs/>
          <w:color w:val="005BBB"/>
          <w:sz w:val="24"/>
          <w:szCs w:val="24"/>
        </w:rPr>
        <w:t>Don’t miss your chance to weigh in</w:t>
      </w:r>
    </w:p>
    <w:p w14:paraId="0A6DA6A0" w14:textId="1E4DC3B2" w:rsidR="008C1F7C" w:rsidRPr="008C1F7C" w:rsidRDefault="008C1F7C" w:rsidP="00793AEE">
      <w:pPr>
        <w:widowControl/>
        <w:autoSpaceDE/>
        <w:autoSpaceDN/>
        <w:adjustRightInd/>
        <w:spacing w:after="120"/>
        <w:rPr>
          <w:rFonts w:ascii="Arial" w:eastAsia="Calibri" w:hAnsi="Arial" w:cs="Arial"/>
        </w:rPr>
      </w:pPr>
      <w:r w:rsidRPr="008C1F7C">
        <w:rPr>
          <w:rFonts w:ascii="Arial" w:eastAsia="Calibri" w:hAnsi="Arial" w:cs="Arial"/>
        </w:rPr>
        <w:t xml:space="preserve">In response to changes in practice and the environment, the Professional Ethics Executive Committee has released three exposure drafts of new and revised ethics guidance on loans to and from attest clients, unpaid fees and helping clients implement accounting standards. </w:t>
      </w:r>
    </w:p>
    <w:p w14:paraId="2B9E098A" w14:textId="77777777" w:rsidR="008C1F7C" w:rsidRPr="008C1F7C" w:rsidRDefault="008C1F7C" w:rsidP="00793AEE">
      <w:pPr>
        <w:widowControl/>
        <w:autoSpaceDE/>
        <w:autoSpaceDN/>
        <w:adjustRightInd/>
        <w:spacing w:after="120"/>
        <w:rPr>
          <w:rFonts w:ascii="Arial" w:eastAsia="Calibri" w:hAnsi="Arial" w:cs="Arial"/>
        </w:rPr>
      </w:pPr>
      <w:r w:rsidRPr="008C1F7C">
        <w:rPr>
          <w:rFonts w:ascii="Arial" w:eastAsia="Calibri" w:hAnsi="Arial" w:cs="Arial"/>
        </w:rPr>
        <w:t xml:space="preserve">You can listen to Ethically Speaking episodes on each to find out how they’ll affect practice and why PEEC believes the changes are necessary. </w:t>
      </w:r>
      <w:hyperlink r:id="rId47" w:history="1">
        <w:r w:rsidRPr="00D15BA1">
          <w:rPr>
            <w:rFonts w:ascii="Arial" w:eastAsia="Calibri" w:hAnsi="Arial" w:cs="Arial"/>
            <w:color w:val="2E72FF" w:themeColor="text2" w:themeTint="80"/>
            <w:u w:val="single"/>
          </w:rPr>
          <w:t>Look for episodes 32–34</w:t>
        </w:r>
      </w:hyperlink>
      <w:r w:rsidRPr="008C1F7C">
        <w:rPr>
          <w:rFonts w:ascii="Arial" w:eastAsia="Calibri" w:hAnsi="Arial" w:cs="Arial"/>
        </w:rPr>
        <w:t xml:space="preserve"> in our EDs on the go series. In the show notes of each episode, you’ll find a link to a handy online comment submission form as well as to the text of the exposure drafts.</w:t>
      </w:r>
    </w:p>
    <w:p w14:paraId="68E0C810" w14:textId="77777777" w:rsidR="008C1F7C" w:rsidRPr="008C1F7C" w:rsidRDefault="008C1F7C" w:rsidP="00793AEE">
      <w:pPr>
        <w:widowControl/>
        <w:autoSpaceDE/>
        <w:autoSpaceDN/>
        <w:adjustRightInd/>
        <w:spacing w:after="120"/>
        <w:rPr>
          <w:rFonts w:ascii="Arial" w:eastAsia="Calibri" w:hAnsi="Arial" w:cs="Arial"/>
        </w:rPr>
      </w:pPr>
      <w:r w:rsidRPr="008C1F7C">
        <w:rPr>
          <w:rFonts w:ascii="Arial" w:eastAsia="Calibri" w:hAnsi="Arial" w:cs="Arial"/>
        </w:rPr>
        <w:lastRenderedPageBreak/>
        <w:t xml:space="preserve">If you’d rather read than listen, visit </w:t>
      </w:r>
      <w:hyperlink r:id="rId48" w:history="1">
        <w:r w:rsidRPr="00D15BA1">
          <w:rPr>
            <w:rFonts w:ascii="Arial" w:eastAsia="Calibri" w:hAnsi="Arial" w:cs="Arial"/>
            <w:color w:val="2E72FF" w:themeColor="text2" w:themeTint="80"/>
            <w:u w:val="single"/>
          </w:rPr>
          <w:t>PEEC’s project page</w:t>
        </w:r>
      </w:hyperlink>
      <w:r w:rsidRPr="00D15BA1">
        <w:rPr>
          <w:rFonts w:ascii="Arial" w:eastAsia="Calibri" w:hAnsi="Arial" w:cs="Arial"/>
          <w:color w:val="2E72FF" w:themeColor="text2" w:themeTint="80"/>
        </w:rPr>
        <w:t xml:space="preserve"> </w:t>
      </w:r>
      <w:r w:rsidRPr="008C1F7C">
        <w:rPr>
          <w:rFonts w:ascii="Arial" w:eastAsia="Calibri" w:hAnsi="Arial" w:cs="Arial"/>
        </w:rPr>
        <w:t>for links to the exposure drafts.</w:t>
      </w:r>
    </w:p>
    <w:p w14:paraId="1267F69A" w14:textId="77777777" w:rsidR="008C1F7C" w:rsidRPr="008C1F7C" w:rsidRDefault="008C1F7C" w:rsidP="00793AEE">
      <w:pPr>
        <w:widowControl/>
        <w:autoSpaceDE/>
        <w:autoSpaceDN/>
        <w:adjustRightInd/>
        <w:spacing w:after="120"/>
        <w:rPr>
          <w:rFonts w:ascii="Arial" w:eastAsia="Calibri" w:hAnsi="Arial" w:cs="Arial"/>
          <w:b/>
          <w:bCs/>
          <w:color w:val="005BBB"/>
          <w:sz w:val="24"/>
          <w:szCs w:val="24"/>
        </w:rPr>
      </w:pPr>
      <w:r w:rsidRPr="008C1F7C">
        <w:rPr>
          <w:rFonts w:ascii="Arial" w:eastAsia="Calibri" w:hAnsi="Arial" w:cs="Arial"/>
          <w:b/>
          <w:bCs/>
          <w:color w:val="005BBB"/>
          <w:sz w:val="24"/>
          <w:szCs w:val="24"/>
        </w:rPr>
        <w:t>Keep an eye out for new member enrichment aids</w:t>
      </w:r>
    </w:p>
    <w:p w14:paraId="396C3994" w14:textId="77777777" w:rsidR="008C1F7C" w:rsidRPr="008C1F7C" w:rsidRDefault="008C1F7C" w:rsidP="00793AEE">
      <w:pPr>
        <w:widowControl/>
        <w:autoSpaceDE/>
        <w:autoSpaceDN/>
        <w:adjustRightInd/>
        <w:spacing w:after="120"/>
        <w:rPr>
          <w:rFonts w:ascii="Arial" w:eastAsia="Calibri" w:hAnsi="Arial" w:cs="Arial"/>
        </w:rPr>
      </w:pPr>
      <w:r w:rsidRPr="008C1F7C">
        <w:rPr>
          <w:rFonts w:ascii="Arial" w:eastAsia="Calibri" w:hAnsi="Arial" w:cs="Arial"/>
        </w:rPr>
        <w:t xml:space="preserve">In the coming weeks, we’ll be publishing a practice aid on the “Information Systems Services” interpretation. Keep an eye on our Resources page. </w:t>
      </w:r>
    </w:p>
    <w:p w14:paraId="07E9AF1F" w14:textId="5B268340" w:rsidR="008C1F7C" w:rsidRPr="008C1F7C" w:rsidRDefault="008C1F7C" w:rsidP="00793AEE">
      <w:pPr>
        <w:widowControl/>
        <w:autoSpaceDE/>
        <w:autoSpaceDN/>
        <w:adjustRightInd/>
        <w:spacing w:after="120"/>
        <w:rPr>
          <w:rFonts w:ascii="Arial" w:eastAsia="Calibri" w:hAnsi="Arial" w:cs="Arial"/>
        </w:rPr>
      </w:pPr>
      <w:r w:rsidRPr="008C1F7C">
        <w:rPr>
          <w:rFonts w:ascii="Arial" w:eastAsia="Calibri" w:hAnsi="Arial" w:cs="Arial"/>
        </w:rPr>
        <w:t xml:space="preserve">We’ve recently published </w:t>
      </w:r>
      <w:hyperlink r:id="rId49" w:anchor="page=15" w:history="1">
        <w:r w:rsidRPr="00D15BA1">
          <w:rPr>
            <w:rFonts w:ascii="Arial" w:eastAsia="Calibri" w:hAnsi="Arial" w:cs="Arial"/>
            <w:color w:val="2E72FF" w:themeColor="text2" w:themeTint="80"/>
            <w:u w:val="single"/>
          </w:rPr>
          <w:t>new Q&amp;As on loaned staff</w:t>
        </w:r>
      </w:hyperlink>
      <w:r w:rsidRPr="008C1F7C">
        <w:rPr>
          <w:rFonts w:ascii="Arial" w:eastAsia="Calibri" w:hAnsi="Arial" w:cs="Arial"/>
        </w:rPr>
        <w:t xml:space="preserve"> (i.e. staff augmentation) that you may find helpful. </w:t>
      </w:r>
    </w:p>
    <w:p w14:paraId="2AEFEF43" w14:textId="77777777" w:rsidR="008C1F7C" w:rsidRPr="008C1F7C" w:rsidRDefault="008C1F7C" w:rsidP="00793AEE">
      <w:pPr>
        <w:widowControl/>
        <w:autoSpaceDE/>
        <w:autoSpaceDN/>
        <w:adjustRightInd/>
        <w:spacing w:after="120"/>
        <w:rPr>
          <w:rFonts w:ascii="Arial" w:eastAsia="Calibri" w:hAnsi="Arial" w:cs="Arial"/>
          <w:b/>
          <w:bCs/>
          <w:color w:val="005BBB"/>
          <w:sz w:val="24"/>
          <w:szCs w:val="24"/>
        </w:rPr>
      </w:pPr>
      <w:r w:rsidRPr="008C1F7C">
        <w:rPr>
          <w:rFonts w:ascii="Arial" w:eastAsia="Calibri" w:hAnsi="Arial" w:cs="Arial"/>
          <w:b/>
          <w:bCs/>
          <w:color w:val="005BBB"/>
          <w:sz w:val="24"/>
          <w:szCs w:val="24"/>
        </w:rPr>
        <w:t>Ethically Speaking — Learn while you’re on the go</w:t>
      </w:r>
    </w:p>
    <w:p w14:paraId="51BA9D41" w14:textId="597A6113" w:rsidR="008C1F7C" w:rsidRPr="008C1F7C" w:rsidRDefault="00000CAE" w:rsidP="00793AEE">
      <w:pPr>
        <w:widowControl/>
        <w:autoSpaceDE/>
        <w:autoSpaceDN/>
        <w:adjustRightInd/>
        <w:spacing w:after="120"/>
        <w:textAlignment w:val="baseline"/>
        <w:rPr>
          <w:rFonts w:ascii="Arial" w:hAnsi="Arial" w:cs="Arial"/>
        </w:rPr>
      </w:pPr>
      <w:hyperlink r:id="rId50" w:history="1">
        <w:r w:rsidR="008C1F7C" w:rsidRPr="00D15BA1">
          <w:rPr>
            <w:rFonts w:ascii="Arial" w:hAnsi="Arial" w:cs="Arial"/>
            <w:color w:val="2E72FF" w:themeColor="text2" w:themeTint="80"/>
            <w:u w:val="single"/>
          </w:rPr>
          <w:t>Our podcast</w:t>
        </w:r>
      </w:hyperlink>
      <w:r w:rsidR="008C1F7C" w:rsidRPr="008C1F7C">
        <w:rPr>
          <w:rFonts w:ascii="Arial" w:hAnsi="Arial" w:cs="Arial"/>
        </w:rPr>
        <w:t xml:space="preserve"> is designed to</w:t>
      </w:r>
      <w:r w:rsidR="009E71A0">
        <w:rPr>
          <w:rFonts w:ascii="Arial" w:hAnsi="Arial" w:cs="Arial"/>
        </w:rPr>
        <w:t>:</w:t>
      </w:r>
    </w:p>
    <w:p w14:paraId="7F2F9E20" w14:textId="77777777" w:rsidR="008C1F7C" w:rsidRPr="008C1F7C" w:rsidRDefault="008C1F7C" w:rsidP="00793AEE">
      <w:pPr>
        <w:widowControl/>
        <w:numPr>
          <w:ilvl w:val="0"/>
          <w:numId w:val="24"/>
        </w:numPr>
        <w:autoSpaceDE/>
        <w:autoSpaceDN/>
        <w:adjustRightInd/>
        <w:spacing w:after="120"/>
        <w:ind w:left="360" w:firstLine="0"/>
        <w:textAlignment w:val="baseline"/>
        <w:rPr>
          <w:rFonts w:ascii="Arial" w:hAnsi="Arial" w:cs="Arial"/>
        </w:rPr>
      </w:pPr>
      <w:r w:rsidRPr="008C1F7C">
        <w:rPr>
          <w:rFonts w:ascii="Arial" w:hAnsi="Arial" w:cs="Arial"/>
        </w:rPr>
        <w:t>bring you up-to-date information on ethics matters relevant to your practice, </w:t>
      </w:r>
    </w:p>
    <w:p w14:paraId="60D237D2" w14:textId="285951D1" w:rsidR="008C1F7C" w:rsidRPr="008C1F7C" w:rsidRDefault="008C1F7C" w:rsidP="00793AEE">
      <w:pPr>
        <w:widowControl/>
        <w:numPr>
          <w:ilvl w:val="0"/>
          <w:numId w:val="25"/>
        </w:numPr>
        <w:autoSpaceDE/>
        <w:autoSpaceDN/>
        <w:adjustRightInd/>
        <w:spacing w:after="120"/>
        <w:ind w:left="360" w:firstLine="0"/>
        <w:textAlignment w:val="baseline"/>
        <w:rPr>
          <w:rFonts w:ascii="Arial" w:hAnsi="Arial" w:cs="Arial"/>
        </w:rPr>
      </w:pPr>
      <w:r w:rsidRPr="008C1F7C">
        <w:rPr>
          <w:rFonts w:ascii="Arial" w:hAnsi="Arial" w:cs="Arial"/>
        </w:rPr>
        <w:t>keep you aware of the activities of the AICPA Professional Ethics Division and  </w:t>
      </w:r>
    </w:p>
    <w:p w14:paraId="7BB4596A" w14:textId="77777777" w:rsidR="008C1F7C" w:rsidRPr="008C1F7C" w:rsidRDefault="008C1F7C" w:rsidP="00793AEE">
      <w:pPr>
        <w:widowControl/>
        <w:numPr>
          <w:ilvl w:val="0"/>
          <w:numId w:val="25"/>
        </w:numPr>
        <w:autoSpaceDE/>
        <w:autoSpaceDN/>
        <w:adjustRightInd/>
        <w:spacing w:after="120"/>
        <w:ind w:left="360" w:firstLine="0"/>
        <w:textAlignment w:val="baseline"/>
        <w:rPr>
          <w:rFonts w:ascii="Arial" w:hAnsi="Arial" w:cs="Arial"/>
        </w:rPr>
      </w:pPr>
      <w:r w:rsidRPr="008C1F7C">
        <w:rPr>
          <w:rFonts w:ascii="Arial" w:hAnsi="Arial" w:cs="Arial"/>
        </w:rPr>
        <w:t>offer ongoing ethics education.</w:t>
      </w:r>
    </w:p>
    <w:p w14:paraId="50D72773" w14:textId="05A483B7" w:rsidR="008C1F7C" w:rsidRPr="008C1F7C" w:rsidRDefault="008C1F7C" w:rsidP="00793AEE">
      <w:pPr>
        <w:widowControl/>
        <w:autoSpaceDE/>
        <w:autoSpaceDN/>
        <w:adjustRightInd/>
        <w:spacing w:after="120"/>
        <w:textAlignment w:val="baseline"/>
        <w:rPr>
          <w:rFonts w:ascii="Arial" w:hAnsi="Arial" w:cs="Arial"/>
        </w:rPr>
      </w:pPr>
      <w:r w:rsidRPr="008C1F7C">
        <w:rPr>
          <w:rFonts w:ascii="Arial" w:hAnsi="Arial" w:cs="Arial"/>
        </w:rPr>
        <w:t xml:space="preserve">In addition to conversations about exposure drafts, you’ll find episodes on enforcement, independence, questions we get on the hotline and many other timely topics. </w:t>
      </w:r>
    </w:p>
    <w:p w14:paraId="69114F00" w14:textId="23A89E14" w:rsidR="008C1F7C" w:rsidRDefault="008C1F7C" w:rsidP="00793AEE">
      <w:pPr>
        <w:widowControl/>
        <w:autoSpaceDE/>
        <w:autoSpaceDN/>
        <w:adjustRightInd/>
        <w:spacing w:after="120"/>
        <w:textAlignment w:val="baseline"/>
        <w:rPr>
          <w:rFonts w:ascii="Arial" w:hAnsi="Arial" w:cs="Arial"/>
        </w:rPr>
      </w:pPr>
      <w:r w:rsidRPr="008C1F7C">
        <w:rPr>
          <w:rFonts w:ascii="Arial" w:hAnsi="Arial" w:cs="Arial"/>
        </w:rPr>
        <w:t xml:space="preserve">You can find and subscribe to Ethically Speaking on </w:t>
      </w:r>
      <w:hyperlink r:id="rId51">
        <w:r w:rsidRPr="00D15BA1">
          <w:rPr>
            <w:rFonts w:ascii="Arial" w:hAnsi="Arial" w:cs="Arial"/>
            <w:color w:val="2E72FF" w:themeColor="text2" w:themeTint="80"/>
            <w:u w:val="single"/>
          </w:rPr>
          <w:t>iTunes</w:t>
        </w:r>
      </w:hyperlink>
      <w:r w:rsidRPr="008C1F7C">
        <w:rPr>
          <w:rFonts w:ascii="Arial" w:hAnsi="Arial" w:cs="Arial"/>
        </w:rPr>
        <w:t xml:space="preserve">, </w:t>
      </w:r>
      <w:hyperlink r:id="rId52">
        <w:r w:rsidRPr="00D15BA1">
          <w:rPr>
            <w:rFonts w:ascii="Arial" w:hAnsi="Arial" w:cs="Arial"/>
            <w:color w:val="2E72FF" w:themeColor="text2" w:themeTint="80"/>
            <w:u w:val="single"/>
          </w:rPr>
          <w:t>Google Podcasts</w:t>
        </w:r>
      </w:hyperlink>
      <w:r w:rsidRPr="008C1F7C">
        <w:rPr>
          <w:rFonts w:ascii="Arial" w:hAnsi="Arial" w:cs="Arial"/>
        </w:rPr>
        <w:t xml:space="preserve"> or wherever you stream content. Just search for “Ethically Speaking” and look for the jolly citrus logo. </w:t>
      </w:r>
    </w:p>
    <w:p w14:paraId="16C53392" w14:textId="681A8ACB" w:rsidR="005A4665" w:rsidRDefault="005A4665" w:rsidP="008C1F7C">
      <w:pPr>
        <w:widowControl/>
        <w:autoSpaceDE/>
        <w:autoSpaceDN/>
        <w:adjustRightInd/>
        <w:spacing w:after="120"/>
        <w:textAlignment w:val="baseline"/>
        <w:rPr>
          <w:rFonts w:ascii="Arial" w:hAnsi="Arial" w:cs="Arial"/>
        </w:rPr>
      </w:pPr>
    </w:p>
    <w:p w14:paraId="5D4B6D47" w14:textId="77777777" w:rsidR="008368B5" w:rsidRDefault="008368B5" w:rsidP="008C1F7C">
      <w:pPr>
        <w:widowControl/>
        <w:autoSpaceDE/>
        <w:autoSpaceDN/>
        <w:adjustRightInd/>
        <w:spacing w:after="120"/>
        <w:textAlignment w:val="baseline"/>
        <w:rPr>
          <w:rFonts w:ascii="Arial" w:hAnsi="Arial" w:cs="Arial"/>
        </w:rPr>
      </w:pPr>
    </w:p>
    <w:p w14:paraId="0FDF21EB" w14:textId="77777777" w:rsidR="005A4665" w:rsidRPr="008C1F7C" w:rsidRDefault="005A4665" w:rsidP="008C1F7C">
      <w:pPr>
        <w:widowControl/>
        <w:autoSpaceDE/>
        <w:autoSpaceDN/>
        <w:adjustRightInd/>
        <w:spacing w:after="120"/>
        <w:textAlignment w:val="baseline"/>
        <w:rPr>
          <w:rFonts w:ascii="Arial" w:hAnsi="Arial" w:cs="Arial"/>
        </w:rPr>
      </w:pPr>
    </w:p>
    <w:p w14:paraId="485FABBD" w14:textId="48025F91" w:rsidR="000232A5" w:rsidRPr="00DA18EE" w:rsidRDefault="005A4665" w:rsidP="00574FB9">
      <w:pPr>
        <w:pStyle w:val="NoSpacing"/>
        <w:rPr>
          <w:rFonts w:ascii="Arial" w:hAnsi="Arial" w:cs="Arial"/>
          <w:sz w:val="22"/>
        </w:rPr>
      </w:pPr>
      <w:r w:rsidRPr="005A4665">
        <w:rPr>
          <w:rFonts w:ascii="Arial" w:hAnsi="Arial" w:cs="Arial"/>
          <w:noProof/>
          <w:sz w:val="22"/>
        </w:rPr>
        <w:drawing>
          <wp:inline distT="0" distB="0" distL="0" distR="0" wp14:anchorId="1E191B0A" wp14:editId="47B91D5F">
            <wp:extent cx="6795655" cy="4457414"/>
            <wp:effectExtent l="0" t="0" r="571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3" cstate="email">
                      <a:extLst>
                        <a:ext uri="{28A0092B-C50C-407E-A947-70E740481C1C}">
                          <a14:useLocalDpi xmlns:a14="http://schemas.microsoft.com/office/drawing/2010/main"/>
                        </a:ext>
                      </a:extLst>
                    </a:blip>
                    <a:srcRect l="15556"/>
                    <a:stretch/>
                  </pic:blipFill>
                  <pic:spPr bwMode="auto">
                    <a:xfrm>
                      <a:off x="0" y="0"/>
                      <a:ext cx="6837483" cy="4484850"/>
                    </a:xfrm>
                    <a:prstGeom prst="rect">
                      <a:avLst/>
                    </a:prstGeom>
                    <a:ln>
                      <a:noFill/>
                    </a:ln>
                    <a:extLst>
                      <a:ext uri="{53640926-AAD7-44D8-BBD7-CCE9431645EC}">
                        <a14:shadowObscured xmlns:a14="http://schemas.microsoft.com/office/drawing/2010/main"/>
                      </a:ext>
                    </a:extLst>
                  </pic:spPr>
                </pic:pic>
              </a:graphicData>
            </a:graphic>
          </wp:inline>
        </w:drawing>
      </w:r>
    </w:p>
    <w:sectPr w:rsidR="000232A5" w:rsidRPr="00DA18EE" w:rsidSect="007E4EC0">
      <w:footerReference w:type="default" r:id="rId54"/>
      <w:footerReference w:type="first" r:id="rId55"/>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D27F0" w14:textId="77777777" w:rsidR="00574441" w:rsidRDefault="00574441" w:rsidP="00C03D04">
      <w:r>
        <w:separator/>
      </w:r>
    </w:p>
  </w:endnote>
  <w:endnote w:type="continuationSeparator" w:id="0">
    <w:p w14:paraId="24B9A33C" w14:textId="77777777" w:rsidR="00574441" w:rsidRDefault="00574441"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DE4F" w14:textId="0A78D043" w:rsidR="00AB5A4F" w:rsidRPr="000B7C55" w:rsidRDefault="001F62CE" w:rsidP="00836BEA">
    <w:pPr>
      <w:pStyle w:val="Footer"/>
      <w:jc w:val="right"/>
      <w:rPr>
        <w:rFonts w:ascii="Arial" w:hAnsi="Arial" w:cs="Arial"/>
        <w:color w:val="005BBB"/>
      </w:rPr>
    </w:pPr>
    <w:r>
      <w:rPr>
        <w:rFonts w:ascii="Arial" w:hAnsi="Arial" w:cs="Arial"/>
        <w:color w:val="005BBB"/>
      </w:rPr>
      <w:t>Fall</w:t>
    </w:r>
    <w:r w:rsidR="00FB04ED">
      <w:rPr>
        <w:rFonts w:ascii="Arial" w:hAnsi="Arial" w:cs="Arial"/>
        <w:color w:val="005BBB"/>
      </w:rPr>
      <w:t xml:space="preserve"> 2021</w:t>
    </w:r>
    <w:r w:rsidR="00AB5A4F" w:rsidRPr="000B7C55">
      <w:rPr>
        <w:rFonts w:ascii="Arial" w:hAnsi="Arial" w:cs="Arial"/>
        <w:color w:val="005BBB"/>
      </w:rPr>
      <w:t xml:space="preserve"> </w:t>
    </w:r>
    <w:r w:rsidR="00DB21F5" w:rsidRPr="000B7C55">
      <w:rPr>
        <w:rFonts w:ascii="Arial" w:hAnsi="Arial" w:cs="Arial"/>
        <w:color w:val="005BBB"/>
      </w:rPr>
      <w:t>E</w:t>
    </w:r>
    <w:r w:rsidR="00AB5A4F" w:rsidRPr="000B7C55">
      <w:rPr>
        <w:rFonts w:ascii="Arial" w:hAnsi="Arial" w:cs="Arial"/>
        <w:color w:val="005BBB"/>
      </w:rPr>
      <w:t>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BAA4" w14:textId="77777777" w:rsidR="00AB5A4F" w:rsidRPr="00AB5A4F" w:rsidRDefault="00AB5A4F" w:rsidP="00AB5A4F">
    <w:pPr>
      <w:pStyle w:val="Footer"/>
      <w:jc w:val="right"/>
      <w:rPr>
        <w:color w:val="7030A0"/>
      </w:rPr>
    </w:pPr>
    <w:r w:rsidRPr="00AB5A4F">
      <w:rPr>
        <w:color w:val="7030A0"/>
      </w:rPr>
      <w:t>Fall 2019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DEE13" w14:textId="77777777" w:rsidR="00574441" w:rsidRDefault="00574441" w:rsidP="00C03D04">
      <w:r>
        <w:separator/>
      </w:r>
    </w:p>
  </w:footnote>
  <w:footnote w:type="continuationSeparator" w:id="0">
    <w:p w14:paraId="05CA8818" w14:textId="77777777" w:rsidR="00574441" w:rsidRDefault="00574441" w:rsidP="00C03D04">
      <w:r>
        <w:continuationSeparator/>
      </w:r>
    </w:p>
  </w:footnote>
  <w:footnote w:id="1">
    <w:p w14:paraId="5F516826" w14:textId="77777777" w:rsidR="00D3383C" w:rsidRPr="006F2B4F" w:rsidRDefault="00D3383C" w:rsidP="00D3383C">
      <w:pPr>
        <w:pStyle w:val="FootnoteText1"/>
        <w:rPr>
          <w:rFonts w:ascii="Arial" w:hAnsi="Arial" w:cs="Arial"/>
          <w:sz w:val="16"/>
          <w:szCs w:val="16"/>
        </w:rPr>
      </w:pPr>
      <w:r>
        <w:rPr>
          <w:rStyle w:val="FootnoteReference"/>
          <w:rFonts w:cs="Calibri"/>
        </w:rPr>
        <w:t>[1]</w:t>
      </w:r>
      <w:r>
        <w:t xml:space="preserve"> </w:t>
      </w:r>
      <w:r w:rsidRPr="006F2B4F">
        <w:rPr>
          <w:rFonts w:ascii="Arial" w:hAnsi="Arial" w:cs="Arial"/>
          <w:sz w:val="16"/>
          <w:szCs w:val="16"/>
        </w:rPr>
        <w:t xml:space="preserve">Although similar tools may be marketed to organizations engaging a CPA to perform other attestation engagements, this document addresses only the potential impact of the use of such tools in SOC 2 examinations.  Nevertheless, some of the guidance may be helpful when considering the effect of similar tools in other attestation engagements.  </w:t>
      </w:r>
    </w:p>
    <w:p w14:paraId="511564CD" w14:textId="77777777" w:rsidR="00D3383C" w:rsidRDefault="00D3383C" w:rsidP="00D3383C">
      <w:pPr>
        <w:pStyle w:val="FootnoteText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2951"/>
    <w:multiLevelType w:val="hybridMultilevel"/>
    <w:tmpl w:val="1A56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3CD2"/>
    <w:multiLevelType w:val="hybridMultilevel"/>
    <w:tmpl w:val="E48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C7E85"/>
    <w:multiLevelType w:val="multilevel"/>
    <w:tmpl w:val="114AC90A"/>
    <w:lvl w:ilvl="0">
      <w:start w:val="1"/>
      <w:numFmt w:val="bullet"/>
      <w:lvlText w:val=""/>
      <w:lvlJc w:val="left"/>
      <w:pPr>
        <w:tabs>
          <w:tab w:val="num" w:pos="1488"/>
        </w:tabs>
        <w:ind w:left="1488" w:hanging="360"/>
      </w:pPr>
      <w:rPr>
        <w:rFonts w:ascii="Symbol" w:hAnsi="Symbol" w:hint="default"/>
        <w:sz w:val="20"/>
      </w:rPr>
    </w:lvl>
    <w:lvl w:ilvl="1">
      <w:start w:val="1"/>
      <w:numFmt w:val="bullet"/>
      <w:lvlText w:val="o"/>
      <w:lvlJc w:val="left"/>
      <w:pPr>
        <w:tabs>
          <w:tab w:val="num" w:pos="2208"/>
        </w:tabs>
        <w:ind w:left="2208" w:hanging="360"/>
      </w:pPr>
      <w:rPr>
        <w:rFonts w:ascii="Courier New" w:hAnsi="Courier New" w:cs="Times New Roman" w:hint="default"/>
        <w:sz w:val="20"/>
      </w:rPr>
    </w:lvl>
    <w:lvl w:ilvl="2">
      <w:start w:val="1"/>
      <w:numFmt w:val="bullet"/>
      <w:lvlText w:val=""/>
      <w:lvlJc w:val="left"/>
      <w:pPr>
        <w:tabs>
          <w:tab w:val="num" w:pos="2928"/>
        </w:tabs>
        <w:ind w:left="2928" w:hanging="360"/>
      </w:pPr>
      <w:rPr>
        <w:rFonts w:ascii="Wingdings" w:hAnsi="Wingdings" w:hint="default"/>
        <w:sz w:val="20"/>
      </w:rPr>
    </w:lvl>
    <w:lvl w:ilvl="3">
      <w:start w:val="1"/>
      <w:numFmt w:val="bullet"/>
      <w:lvlText w:val=""/>
      <w:lvlJc w:val="left"/>
      <w:pPr>
        <w:tabs>
          <w:tab w:val="num" w:pos="3648"/>
        </w:tabs>
        <w:ind w:left="3648" w:hanging="360"/>
      </w:pPr>
      <w:rPr>
        <w:rFonts w:ascii="Wingdings" w:hAnsi="Wingdings" w:hint="default"/>
        <w:sz w:val="20"/>
      </w:rPr>
    </w:lvl>
    <w:lvl w:ilvl="4">
      <w:start w:val="1"/>
      <w:numFmt w:val="bullet"/>
      <w:lvlText w:val=""/>
      <w:lvlJc w:val="left"/>
      <w:pPr>
        <w:tabs>
          <w:tab w:val="num" w:pos="4368"/>
        </w:tabs>
        <w:ind w:left="4368" w:hanging="360"/>
      </w:pPr>
      <w:rPr>
        <w:rFonts w:ascii="Wingdings" w:hAnsi="Wingdings" w:hint="default"/>
        <w:sz w:val="20"/>
      </w:rPr>
    </w:lvl>
    <w:lvl w:ilvl="5">
      <w:start w:val="1"/>
      <w:numFmt w:val="bullet"/>
      <w:lvlText w:val=""/>
      <w:lvlJc w:val="left"/>
      <w:pPr>
        <w:tabs>
          <w:tab w:val="num" w:pos="5088"/>
        </w:tabs>
        <w:ind w:left="5088" w:hanging="360"/>
      </w:pPr>
      <w:rPr>
        <w:rFonts w:ascii="Wingdings" w:hAnsi="Wingdings" w:hint="default"/>
        <w:sz w:val="20"/>
      </w:rPr>
    </w:lvl>
    <w:lvl w:ilvl="6">
      <w:start w:val="1"/>
      <w:numFmt w:val="bullet"/>
      <w:lvlText w:val=""/>
      <w:lvlJc w:val="left"/>
      <w:pPr>
        <w:tabs>
          <w:tab w:val="num" w:pos="5808"/>
        </w:tabs>
        <w:ind w:left="5808" w:hanging="360"/>
      </w:pPr>
      <w:rPr>
        <w:rFonts w:ascii="Wingdings" w:hAnsi="Wingdings" w:hint="default"/>
        <w:sz w:val="20"/>
      </w:rPr>
    </w:lvl>
    <w:lvl w:ilvl="7">
      <w:start w:val="1"/>
      <w:numFmt w:val="bullet"/>
      <w:lvlText w:val=""/>
      <w:lvlJc w:val="left"/>
      <w:pPr>
        <w:tabs>
          <w:tab w:val="num" w:pos="6528"/>
        </w:tabs>
        <w:ind w:left="6528" w:hanging="360"/>
      </w:pPr>
      <w:rPr>
        <w:rFonts w:ascii="Wingdings" w:hAnsi="Wingdings" w:hint="default"/>
        <w:sz w:val="20"/>
      </w:rPr>
    </w:lvl>
    <w:lvl w:ilvl="8">
      <w:start w:val="1"/>
      <w:numFmt w:val="bullet"/>
      <w:lvlText w:val=""/>
      <w:lvlJc w:val="left"/>
      <w:pPr>
        <w:tabs>
          <w:tab w:val="num" w:pos="7248"/>
        </w:tabs>
        <w:ind w:left="7248" w:hanging="360"/>
      </w:pPr>
      <w:rPr>
        <w:rFonts w:ascii="Wingdings" w:hAnsi="Wingdings" w:hint="default"/>
        <w:sz w:val="20"/>
      </w:rPr>
    </w:lvl>
  </w:abstractNum>
  <w:abstractNum w:abstractNumId="3" w15:restartNumberingAfterBreak="0">
    <w:nsid w:val="10E7198B"/>
    <w:multiLevelType w:val="hybridMultilevel"/>
    <w:tmpl w:val="49C0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F7952"/>
    <w:multiLevelType w:val="multilevel"/>
    <w:tmpl w:val="3D66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72FF5"/>
    <w:multiLevelType w:val="hybridMultilevel"/>
    <w:tmpl w:val="09F0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B5EA9"/>
    <w:multiLevelType w:val="multilevel"/>
    <w:tmpl w:val="6BC8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5938DB"/>
    <w:multiLevelType w:val="hybridMultilevel"/>
    <w:tmpl w:val="E2A8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6492"/>
    <w:multiLevelType w:val="hybridMultilevel"/>
    <w:tmpl w:val="F64A3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9337C9"/>
    <w:multiLevelType w:val="multilevel"/>
    <w:tmpl w:val="8F52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A12C00"/>
    <w:multiLevelType w:val="hybridMultilevel"/>
    <w:tmpl w:val="F2403CDC"/>
    <w:lvl w:ilvl="0" w:tplc="B09852D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E2BFD"/>
    <w:multiLevelType w:val="hybridMultilevel"/>
    <w:tmpl w:val="8828D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B6B14"/>
    <w:multiLevelType w:val="hybridMultilevel"/>
    <w:tmpl w:val="51C8C110"/>
    <w:lvl w:ilvl="0" w:tplc="0E1A5F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C5A39"/>
    <w:multiLevelType w:val="hybridMultilevel"/>
    <w:tmpl w:val="1F50A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75773"/>
    <w:multiLevelType w:val="hybridMultilevel"/>
    <w:tmpl w:val="290C1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EB37AB"/>
    <w:multiLevelType w:val="multilevel"/>
    <w:tmpl w:val="A4F4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D6726D"/>
    <w:multiLevelType w:val="hybridMultilevel"/>
    <w:tmpl w:val="1EE6B3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388B5FFA"/>
    <w:multiLevelType w:val="hybridMultilevel"/>
    <w:tmpl w:val="A6F4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FC05DB"/>
    <w:multiLevelType w:val="hybridMultilevel"/>
    <w:tmpl w:val="8DE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26A69"/>
    <w:multiLevelType w:val="hybridMultilevel"/>
    <w:tmpl w:val="B3D69D98"/>
    <w:lvl w:ilvl="0" w:tplc="62D4DC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141F73"/>
    <w:multiLevelType w:val="hybridMultilevel"/>
    <w:tmpl w:val="5036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D0F52"/>
    <w:multiLevelType w:val="hybridMultilevel"/>
    <w:tmpl w:val="F84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B76AD"/>
    <w:multiLevelType w:val="multilevel"/>
    <w:tmpl w:val="4DAA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66EBE"/>
    <w:multiLevelType w:val="hybridMultilevel"/>
    <w:tmpl w:val="5784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6133D"/>
    <w:multiLevelType w:val="hybridMultilevel"/>
    <w:tmpl w:val="6B6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035B6"/>
    <w:multiLevelType w:val="hybridMultilevel"/>
    <w:tmpl w:val="9986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A0FF9"/>
    <w:multiLevelType w:val="hybridMultilevel"/>
    <w:tmpl w:val="D18E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4B2A63"/>
    <w:multiLevelType w:val="hybridMultilevel"/>
    <w:tmpl w:val="C4AE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92E14"/>
    <w:multiLevelType w:val="multilevel"/>
    <w:tmpl w:val="CCAA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28230D"/>
    <w:multiLevelType w:val="multilevel"/>
    <w:tmpl w:val="C5C22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B31341"/>
    <w:multiLevelType w:val="hybridMultilevel"/>
    <w:tmpl w:val="B29E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9A4192"/>
    <w:multiLevelType w:val="hybridMultilevel"/>
    <w:tmpl w:val="5BFEA246"/>
    <w:lvl w:ilvl="0" w:tplc="FE72EF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E27EE"/>
    <w:multiLevelType w:val="hybridMultilevel"/>
    <w:tmpl w:val="2794DB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D80162"/>
    <w:multiLevelType w:val="hybridMultilevel"/>
    <w:tmpl w:val="542A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52963"/>
    <w:multiLevelType w:val="hybridMultilevel"/>
    <w:tmpl w:val="3BFA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D92712"/>
    <w:multiLevelType w:val="multilevel"/>
    <w:tmpl w:val="1C98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93602E"/>
    <w:multiLevelType w:val="hybridMultilevel"/>
    <w:tmpl w:val="FEF0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42E6F"/>
    <w:multiLevelType w:val="multilevel"/>
    <w:tmpl w:val="3186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A24D2D"/>
    <w:multiLevelType w:val="hybridMultilevel"/>
    <w:tmpl w:val="1A3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C7711"/>
    <w:multiLevelType w:val="hybridMultilevel"/>
    <w:tmpl w:val="1E2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65DC6"/>
    <w:multiLevelType w:val="hybridMultilevel"/>
    <w:tmpl w:val="6ECE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A0EAE"/>
    <w:multiLevelType w:val="hybridMultilevel"/>
    <w:tmpl w:val="D9A64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1F1318"/>
    <w:multiLevelType w:val="hybridMultilevel"/>
    <w:tmpl w:val="6E3C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27"/>
  </w:num>
  <w:num w:numId="4">
    <w:abstractNumId w:val="18"/>
  </w:num>
  <w:num w:numId="5">
    <w:abstractNumId w:val="24"/>
  </w:num>
  <w:num w:numId="6">
    <w:abstractNumId w:val="39"/>
  </w:num>
  <w:num w:numId="7">
    <w:abstractNumId w:val="1"/>
  </w:num>
  <w:num w:numId="8">
    <w:abstractNumId w:val="18"/>
  </w:num>
  <w:num w:numId="9">
    <w:abstractNumId w:val="2"/>
  </w:num>
  <w:num w:numId="10">
    <w:abstractNumId w:val="17"/>
  </w:num>
  <w:num w:numId="11">
    <w:abstractNumId w:val="11"/>
  </w:num>
  <w:num w:numId="12">
    <w:abstractNumId w:val="30"/>
  </w:num>
  <w:num w:numId="13">
    <w:abstractNumId w:val="14"/>
  </w:num>
  <w:num w:numId="14">
    <w:abstractNumId w:val="16"/>
  </w:num>
  <w:num w:numId="15">
    <w:abstractNumId w:val="30"/>
  </w:num>
  <w:num w:numId="16">
    <w:abstractNumId w:val="38"/>
  </w:num>
  <w:num w:numId="17">
    <w:abstractNumId w:val="23"/>
  </w:num>
  <w:num w:numId="18">
    <w:abstractNumId w:val="10"/>
  </w:num>
  <w:num w:numId="19">
    <w:abstractNumId w:val="15"/>
  </w:num>
  <w:num w:numId="20">
    <w:abstractNumId w:val="22"/>
  </w:num>
  <w:num w:numId="21">
    <w:abstractNumId w:val="28"/>
  </w:num>
  <w:num w:numId="22">
    <w:abstractNumId w:val="37"/>
  </w:num>
  <w:num w:numId="23">
    <w:abstractNumId w:val="34"/>
  </w:num>
  <w:num w:numId="24">
    <w:abstractNumId w:val="6"/>
  </w:num>
  <w:num w:numId="25">
    <w:abstractNumId w:val="9"/>
  </w:num>
  <w:num w:numId="26">
    <w:abstractNumId w:val="4"/>
  </w:num>
  <w:num w:numId="27">
    <w:abstractNumId w:val="3"/>
  </w:num>
  <w:num w:numId="28">
    <w:abstractNumId w:val="0"/>
  </w:num>
  <w:num w:numId="29">
    <w:abstractNumId w:val="26"/>
  </w:num>
  <w:num w:numId="30">
    <w:abstractNumId w:val="41"/>
  </w:num>
  <w:num w:numId="31">
    <w:abstractNumId w:val="7"/>
  </w:num>
  <w:num w:numId="32">
    <w:abstractNumId w:val="25"/>
  </w:num>
  <w:num w:numId="33">
    <w:abstractNumId w:val="8"/>
  </w:num>
  <w:num w:numId="34">
    <w:abstractNumId w:val="36"/>
  </w:num>
  <w:num w:numId="35">
    <w:abstractNumId w:val="32"/>
  </w:num>
  <w:num w:numId="36">
    <w:abstractNumId w:val="42"/>
  </w:num>
  <w:num w:numId="37">
    <w:abstractNumId w:val="35"/>
  </w:num>
  <w:num w:numId="38">
    <w:abstractNumId w:val="19"/>
  </w:num>
  <w:num w:numId="39">
    <w:abstractNumId w:val="21"/>
  </w:num>
  <w:num w:numId="40">
    <w:abstractNumId w:val="20"/>
  </w:num>
  <w:num w:numId="41">
    <w:abstractNumId w:val="31"/>
  </w:num>
  <w:num w:numId="42">
    <w:abstractNumId w:val="13"/>
  </w:num>
  <w:num w:numId="43">
    <w:abstractNumId w:val="5"/>
  </w:num>
  <w:num w:numId="44">
    <w:abstractNumId w:val="4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9"/>
    <w:rsid w:val="00000CAE"/>
    <w:rsid w:val="00001180"/>
    <w:rsid w:val="000068B9"/>
    <w:rsid w:val="0001285C"/>
    <w:rsid w:val="000141E1"/>
    <w:rsid w:val="000232A5"/>
    <w:rsid w:val="0002460A"/>
    <w:rsid w:val="000266D5"/>
    <w:rsid w:val="00034F4B"/>
    <w:rsid w:val="00041E9D"/>
    <w:rsid w:val="00051AEE"/>
    <w:rsid w:val="0005661F"/>
    <w:rsid w:val="00060C17"/>
    <w:rsid w:val="00062A40"/>
    <w:rsid w:val="00065DB6"/>
    <w:rsid w:val="000709BE"/>
    <w:rsid w:val="000729F4"/>
    <w:rsid w:val="000735A5"/>
    <w:rsid w:val="00076B79"/>
    <w:rsid w:val="00083B72"/>
    <w:rsid w:val="00086AE5"/>
    <w:rsid w:val="00087C14"/>
    <w:rsid w:val="00096C9D"/>
    <w:rsid w:val="000A3D8F"/>
    <w:rsid w:val="000B0CCE"/>
    <w:rsid w:val="000B4FA9"/>
    <w:rsid w:val="000B56D8"/>
    <w:rsid w:val="000B6650"/>
    <w:rsid w:val="000B7C55"/>
    <w:rsid w:val="000C19E6"/>
    <w:rsid w:val="000C5A92"/>
    <w:rsid w:val="000C7B1D"/>
    <w:rsid w:val="000D3DB5"/>
    <w:rsid w:val="000D53AE"/>
    <w:rsid w:val="000F69D6"/>
    <w:rsid w:val="00106397"/>
    <w:rsid w:val="0010769B"/>
    <w:rsid w:val="0011701C"/>
    <w:rsid w:val="00126B07"/>
    <w:rsid w:val="00130004"/>
    <w:rsid w:val="00132975"/>
    <w:rsid w:val="001341E4"/>
    <w:rsid w:val="00136AD5"/>
    <w:rsid w:val="00141F71"/>
    <w:rsid w:val="00143140"/>
    <w:rsid w:val="0014777B"/>
    <w:rsid w:val="00157235"/>
    <w:rsid w:val="001610D0"/>
    <w:rsid w:val="00162A07"/>
    <w:rsid w:val="00162CC0"/>
    <w:rsid w:val="00165378"/>
    <w:rsid w:val="00175F1B"/>
    <w:rsid w:val="00176141"/>
    <w:rsid w:val="00184B50"/>
    <w:rsid w:val="001863B2"/>
    <w:rsid w:val="00190C61"/>
    <w:rsid w:val="0019195B"/>
    <w:rsid w:val="001A5577"/>
    <w:rsid w:val="001A680D"/>
    <w:rsid w:val="001B6FD5"/>
    <w:rsid w:val="001B7C30"/>
    <w:rsid w:val="001C6871"/>
    <w:rsid w:val="001C7E6D"/>
    <w:rsid w:val="001C7EBB"/>
    <w:rsid w:val="001D28B6"/>
    <w:rsid w:val="001D41D0"/>
    <w:rsid w:val="001D4C22"/>
    <w:rsid w:val="001F2F5F"/>
    <w:rsid w:val="001F41DA"/>
    <w:rsid w:val="001F62CE"/>
    <w:rsid w:val="00203006"/>
    <w:rsid w:val="002118A9"/>
    <w:rsid w:val="00211952"/>
    <w:rsid w:val="0022312A"/>
    <w:rsid w:val="0022328D"/>
    <w:rsid w:val="002234E0"/>
    <w:rsid w:val="00226368"/>
    <w:rsid w:val="0023018D"/>
    <w:rsid w:val="0023396B"/>
    <w:rsid w:val="00237E07"/>
    <w:rsid w:val="00242F1C"/>
    <w:rsid w:val="00244EBF"/>
    <w:rsid w:val="0025049C"/>
    <w:rsid w:val="00251D7E"/>
    <w:rsid w:val="002606D8"/>
    <w:rsid w:val="00277C47"/>
    <w:rsid w:val="00284ACB"/>
    <w:rsid w:val="00290F3B"/>
    <w:rsid w:val="0029173B"/>
    <w:rsid w:val="002A667B"/>
    <w:rsid w:val="002A7D8F"/>
    <w:rsid w:val="002B7E4D"/>
    <w:rsid w:val="002E1EC1"/>
    <w:rsid w:val="002E3D80"/>
    <w:rsid w:val="002E76DC"/>
    <w:rsid w:val="002F0367"/>
    <w:rsid w:val="002F30D8"/>
    <w:rsid w:val="002F7C44"/>
    <w:rsid w:val="00310CBF"/>
    <w:rsid w:val="0031514E"/>
    <w:rsid w:val="00322C99"/>
    <w:rsid w:val="00326537"/>
    <w:rsid w:val="00333719"/>
    <w:rsid w:val="0033720E"/>
    <w:rsid w:val="003448CE"/>
    <w:rsid w:val="00344EC8"/>
    <w:rsid w:val="0034547F"/>
    <w:rsid w:val="00354D0C"/>
    <w:rsid w:val="003674DC"/>
    <w:rsid w:val="003709AB"/>
    <w:rsid w:val="003715B3"/>
    <w:rsid w:val="00381165"/>
    <w:rsid w:val="003851FD"/>
    <w:rsid w:val="00385C1B"/>
    <w:rsid w:val="00391207"/>
    <w:rsid w:val="003B7448"/>
    <w:rsid w:val="003C0BF6"/>
    <w:rsid w:val="003C1FEF"/>
    <w:rsid w:val="003C3675"/>
    <w:rsid w:val="003C3A83"/>
    <w:rsid w:val="003C611D"/>
    <w:rsid w:val="003D4204"/>
    <w:rsid w:val="003D53F8"/>
    <w:rsid w:val="003E00D2"/>
    <w:rsid w:val="003E08C2"/>
    <w:rsid w:val="003E75E8"/>
    <w:rsid w:val="003F0ABE"/>
    <w:rsid w:val="003F2381"/>
    <w:rsid w:val="003F4B29"/>
    <w:rsid w:val="003F6C45"/>
    <w:rsid w:val="004007E4"/>
    <w:rsid w:val="004018E1"/>
    <w:rsid w:val="00404E8E"/>
    <w:rsid w:val="004057E6"/>
    <w:rsid w:val="004108E5"/>
    <w:rsid w:val="00412227"/>
    <w:rsid w:val="004214ED"/>
    <w:rsid w:val="00421884"/>
    <w:rsid w:val="004250B7"/>
    <w:rsid w:val="00431684"/>
    <w:rsid w:val="004333B8"/>
    <w:rsid w:val="00433FE7"/>
    <w:rsid w:val="00441EE4"/>
    <w:rsid w:val="00444777"/>
    <w:rsid w:val="00446E1D"/>
    <w:rsid w:val="00456A37"/>
    <w:rsid w:val="00465E79"/>
    <w:rsid w:val="004678BD"/>
    <w:rsid w:val="0047779F"/>
    <w:rsid w:val="00486D70"/>
    <w:rsid w:val="00490CE0"/>
    <w:rsid w:val="00491F87"/>
    <w:rsid w:val="004925B4"/>
    <w:rsid w:val="00493786"/>
    <w:rsid w:val="00495AF2"/>
    <w:rsid w:val="004A1B81"/>
    <w:rsid w:val="004B79B6"/>
    <w:rsid w:val="004D0748"/>
    <w:rsid w:val="004E32DF"/>
    <w:rsid w:val="004E47F3"/>
    <w:rsid w:val="004F4552"/>
    <w:rsid w:val="004F663D"/>
    <w:rsid w:val="00526BF8"/>
    <w:rsid w:val="00531692"/>
    <w:rsid w:val="00533DA1"/>
    <w:rsid w:val="00534A0A"/>
    <w:rsid w:val="0055261B"/>
    <w:rsid w:val="005529FF"/>
    <w:rsid w:val="00554802"/>
    <w:rsid w:val="00554E48"/>
    <w:rsid w:val="00556834"/>
    <w:rsid w:val="00560801"/>
    <w:rsid w:val="00565993"/>
    <w:rsid w:val="00570BE7"/>
    <w:rsid w:val="005716DB"/>
    <w:rsid w:val="00571D37"/>
    <w:rsid w:val="00571F64"/>
    <w:rsid w:val="00574441"/>
    <w:rsid w:val="00574FB9"/>
    <w:rsid w:val="00580A9B"/>
    <w:rsid w:val="005829BD"/>
    <w:rsid w:val="00582FE1"/>
    <w:rsid w:val="00587FD3"/>
    <w:rsid w:val="00594847"/>
    <w:rsid w:val="005A0AE4"/>
    <w:rsid w:val="005A4665"/>
    <w:rsid w:val="005A7348"/>
    <w:rsid w:val="005A777C"/>
    <w:rsid w:val="005B3AE6"/>
    <w:rsid w:val="005D0BCA"/>
    <w:rsid w:val="005D28DB"/>
    <w:rsid w:val="005D42A9"/>
    <w:rsid w:val="005D5C04"/>
    <w:rsid w:val="005E0E12"/>
    <w:rsid w:val="005E2BD9"/>
    <w:rsid w:val="005F2B3B"/>
    <w:rsid w:val="005F5A88"/>
    <w:rsid w:val="006001F2"/>
    <w:rsid w:val="00602E6B"/>
    <w:rsid w:val="0060304C"/>
    <w:rsid w:val="00616EA8"/>
    <w:rsid w:val="006205EC"/>
    <w:rsid w:val="00622351"/>
    <w:rsid w:val="00637FD1"/>
    <w:rsid w:val="006500F6"/>
    <w:rsid w:val="00651003"/>
    <w:rsid w:val="00655C5F"/>
    <w:rsid w:val="006563D7"/>
    <w:rsid w:val="00656D41"/>
    <w:rsid w:val="00662EED"/>
    <w:rsid w:val="006647C2"/>
    <w:rsid w:val="0067011E"/>
    <w:rsid w:val="0067171C"/>
    <w:rsid w:val="00692BAF"/>
    <w:rsid w:val="0069357F"/>
    <w:rsid w:val="00693CF4"/>
    <w:rsid w:val="006A3531"/>
    <w:rsid w:val="006B07E5"/>
    <w:rsid w:val="006B317F"/>
    <w:rsid w:val="006B50BF"/>
    <w:rsid w:val="006C705E"/>
    <w:rsid w:val="006D2E92"/>
    <w:rsid w:val="006E430B"/>
    <w:rsid w:val="006F0B99"/>
    <w:rsid w:val="006F2B4F"/>
    <w:rsid w:val="006F747A"/>
    <w:rsid w:val="006F7D1C"/>
    <w:rsid w:val="00701F89"/>
    <w:rsid w:val="0073417D"/>
    <w:rsid w:val="00735A7F"/>
    <w:rsid w:val="0074168B"/>
    <w:rsid w:val="007509A9"/>
    <w:rsid w:val="007540F4"/>
    <w:rsid w:val="00760449"/>
    <w:rsid w:val="00762376"/>
    <w:rsid w:val="00762796"/>
    <w:rsid w:val="00764695"/>
    <w:rsid w:val="00767BF2"/>
    <w:rsid w:val="00776105"/>
    <w:rsid w:val="0077613F"/>
    <w:rsid w:val="00776379"/>
    <w:rsid w:val="0078764A"/>
    <w:rsid w:val="00793AEE"/>
    <w:rsid w:val="007A1467"/>
    <w:rsid w:val="007B091E"/>
    <w:rsid w:val="007B1B50"/>
    <w:rsid w:val="007C0018"/>
    <w:rsid w:val="007C21AE"/>
    <w:rsid w:val="007C3870"/>
    <w:rsid w:val="007D019F"/>
    <w:rsid w:val="007D79BA"/>
    <w:rsid w:val="007E07A0"/>
    <w:rsid w:val="007E3BF7"/>
    <w:rsid w:val="007E4EC0"/>
    <w:rsid w:val="007E7714"/>
    <w:rsid w:val="007F17E0"/>
    <w:rsid w:val="007F2279"/>
    <w:rsid w:val="007F46FE"/>
    <w:rsid w:val="007F7B0E"/>
    <w:rsid w:val="008027D0"/>
    <w:rsid w:val="0080507F"/>
    <w:rsid w:val="00814F60"/>
    <w:rsid w:val="0083353A"/>
    <w:rsid w:val="008368B5"/>
    <w:rsid w:val="00836BEA"/>
    <w:rsid w:val="00837999"/>
    <w:rsid w:val="00841EF9"/>
    <w:rsid w:val="00842D33"/>
    <w:rsid w:val="00844B11"/>
    <w:rsid w:val="00847CB0"/>
    <w:rsid w:val="008637E7"/>
    <w:rsid w:val="008665EC"/>
    <w:rsid w:val="0086671D"/>
    <w:rsid w:val="00867B14"/>
    <w:rsid w:val="008747E6"/>
    <w:rsid w:val="00882C4F"/>
    <w:rsid w:val="0088567F"/>
    <w:rsid w:val="00885699"/>
    <w:rsid w:val="008859FD"/>
    <w:rsid w:val="008874FF"/>
    <w:rsid w:val="00896CC8"/>
    <w:rsid w:val="008A1ABD"/>
    <w:rsid w:val="008A49D6"/>
    <w:rsid w:val="008A7A52"/>
    <w:rsid w:val="008B4D06"/>
    <w:rsid w:val="008C1F7C"/>
    <w:rsid w:val="008C24B3"/>
    <w:rsid w:val="008C624D"/>
    <w:rsid w:val="008C7B39"/>
    <w:rsid w:val="008D14C1"/>
    <w:rsid w:val="008D42B1"/>
    <w:rsid w:val="008D6EEE"/>
    <w:rsid w:val="008E0A42"/>
    <w:rsid w:val="008E0DEC"/>
    <w:rsid w:val="008E10E7"/>
    <w:rsid w:val="008E2D6E"/>
    <w:rsid w:val="008E4599"/>
    <w:rsid w:val="008E48F8"/>
    <w:rsid w:val="008E4CC8"/>
    <w:rsid w:val="008E68D1"/>
    <w:rsid w:val="008E7883"/>
    <w:rsid w:val="008F1009"/>
    <w:rsid w:val="008F6E1A"/>
    <w:rsid w:val="00903BD8"/>
    <w:rsid w:val="00903C8C"/>
    <w:rsid w:val="009052F9"/>
    <w:rsid w:val="00912750"/>
    <w:rsid w:val="009143F0"/>
    <w:rsid w:val="0091621A"/>
    <w:rsid w:val="0092077D"/>
    <w:rsid w:val="00922F1A"/>
    <w:rsid w:val="0092728A"/>
    <w:rsid w:val="00934CCE"/>
    <w:rsid w:val="009354FB"/>
    <w:rsid w:val="00943E09"/>
    <w:rsid w:val="0094526C"/>
    <w:rsid w:val="00962301"/>
    <w:rsid w:val="00963419"/>
    <w:rsid w:val="0096357F"/>
    <w:rsid w:val="00975383"/>
    <w:rsid w:val="0097566F"/>
    <w:rsid w:val="00982596"/>
    <w:rsid w:val="00982C63"/>
    <w:rsid w:val="009914E3"/>
    <w:rsid w:val="00993DB2"/>
    <w:rsid w:val="00994153"/>
    <w:rsid w:val="009A10EC"/>
    <w:rsid w:val="009A504D"/>
    <w:rsid w:val="009A5818"/>
    <w:rsid w:val="009A6A31"/>
    <w:rsid w:val="009B325A"/>
    <w:rsid w:val="009B4D58"/>
    <w:rsid w:val="009B72C4"/>
    <w:rsid w:val="009C3909"/>
    <w:rsid w:val="009C4EDE"/>
    <w:rsid w:val="009C4F3A"/>
    <w:rsid w:val="009D2B99"/>
    <w:rsid w:val="009E0122"/>
    <w:rsid w:val="009E71A0"/>
    <w:rsid w:val="009F11E3"/>
    <w:rsid w:val="009F607A"/>
    <w:rsid w:val="009F64C8"/>
    <w:rsid w:val="009F7B4E"/>
    <w:rsid w:val="00A02EA9"/>
    <w:rsid w:val="00A03AFC"/>
    <w:rsid w:val="00A07D1F"/>
    <w:rsid w:val="00A10FEC"/>
    <w:rsid w:val="00A1143D"/>
    <w:rsid w:val="00A11F83"/>
    <w:rsid w:val="00A162BC"/>
    <w:rsid w:val="00A27C7E"/>
    <w:rsid w:val="00A32355"/>
    <w:rsid w:val="00A45363"/>
    <w:rsid w:val="00A45DF2"/>
    <w:rsid w:val="00A53909"/>
    <w:rsid w:val="00A6047E"/>
    <w:rsid w:val="00A61B29"/>
    <w:rsid w:val="00A74A4A"/>
    <w:rsid w:val="00A75572"/>
    <w:rsid w:val="00A84A06"/>
    <w:rsid w:val="00A93F9E"/>
    <w:rsid w:val="00A96FC1"/>
    <w:rsid w:val="00A97706"/>
    <w:rsid w:val="00AA1324"/>
    <w:rsid w:val="00AA297E"/>
    <w:rsid w:val="00AA79BE"/>
    <w:rsid w:val="00AB5A4F"/>
    <w:rsid w:val="00AC26D7"/>
    <w:rsid w:val="00AC4ABB"/>
    <w:rsid w:val="00AD0E8E"/>
    <w:rsid w:val="00AD59D8"/>
    <w:rsid w:val="00AE0435"/>
    <w:rsid w:val="00AE39A8"/>
    <w:rsid w:val="00B004AA"/>
    <w:rsid w:val="00B010A5"/>
    <w:rsid w:val="00B03852"/>
    <w:rsid w:val="00B04230"/>
    <w:rsid w:val="00B0721A"/>
    <w:rsid w:val="00B23553"/>
    <w:rsid w:val="00B24628"/>
    <w:rsid w:val="00B2509B"/>
    <w:rsid w:val="00B30DC4"/>
    <w:rsid w:val="00B47460"/>
    <w:rsid w:val="00B54761"/>
    <w:rsid w:val="00B57F7C"/>
    <w:rsid w:val="00B679F9"/>
    <w:rsid w:val="00B67ECF"/>
    <w:rsid w:val="00B70EC0"/>
    <w:rsid w:val="00B7159B"/>
    <w:rsid w:val="00B8262A"/>
    <w:rsid w:val="00B8591C"/>
    <w:rsid w:val="00B93762"/>
    <w:rsid w:val="00BA410A"/>
    <w:rsid w:val="00BA64C7"/>
    <w:rsid w:val="00BD0DB2"/>
    <w:rsid w:val="00BD13D2"/>
    <w:rsid w:val="00BD3882"/>
    <w:rsid w:val="00BE3DBB"/>
    <w:rsid w:val="00BF25FA"/>
    <w:rsid w:val="00BF665A"/>
    <w:rsid w:val="00C03D04"/>
    <w:rsid w:val="00C05148"/>
    <w:rsid w:val="00C156BA"/>
    <w:rsid w:val="00C22C56"/>
    <w:rsid w:val="00C2438C"/>
    <w:rsid w:val="00C32EB6"/>
    <w:rsid w:val="00C37E0F"/>
    <w:rsid w:val="00C503F2"/>
    <w:rsid w:val="00C515C5"/>
    <w:rsid w:val="00C51D5B"/>
    <w:rsid w:val="00C53972"/>
    <w:rsid w:val="00C560A3"/>
    <w:rsid w:val="00C56900"/>
    <w:rsid w:val="00C717DB"/>
    <w:rsid w:val="00C74094"/>
    <w:rsid w:val="00C801B8"/>
    <w:rsid w:val="00C87816"/>
    <w:rsid w:val="00CA2C14"/>
    <w:rsid w:val="00CA5327"/>
    <w:rsid w:val="00CA7C1E"/>
    <w:rsid w:val="00CB16EA"/>
    <w:rsid w:val="00CB566E"/>
    <w:rsid w:val="00CB5B79"/>
    <w:rsid w:val="00CB6C55"/>
    <w:rsid w:val="00CC1003"/>
    <w:rsid w:val="00CC3AC3"/>
    <w:rsid w:val="00CD6995"/>
    <w:rsid w:val="00CD7720"/>
    <w:rsid w:val="00CD7E97"/>
    <w:rsid w:val="00CE4799"/>
    <w:rsid w:val="00CE7C44"/>
    <w:rsid w:val="00CF01CB"/>
    <w:rsid w:val="00D00FB1"/>
    <w:rsid w:val="00D019E2"/>
    <w:rsid w:val="00D038DF"/>
    <w:rsid w:val="00D065E4"/>
    <w:rsid w:val="00D06B69"/>
    <w:rsid w:val="00D15BA1"/>
    <w:rsid w:val="00D2071C"/>
    <w:rsid w:val="00D263B9"/>
    <w:rsid w:val="00D26405"/>
    <w:rsid w:val="00D264E7"/>
    <w:rsid w:val="00D323D4"/>
    <w:rsid w:val="00D3383C"/>
    <w:rsid w:val="00D40D74"/>
    <w:rsid w:val="00D471F4"/>
    <w:rsid w:val="00D636D7"/>
    <w:rsid w:val="00D658E0"/>
    <w:rsid w:val="00D70553"/>
    <w:rsid w:val="00D87CE9"/>
    <w:rsid w:val="00D90E70"/>
    <w:rsid w:val="00D92424"/>
    <w:rsid w:val="00D928C1"/>
    <w:rsid w:val="00D93A0A"/>
    <w:rsid w:val="00DA18EE"/>
    <w:rsid w:val="00DA2659"/>
    <w:rsid w:val="00DA41FD"/>
    <w:rsid w:val="00DA58CF"/>
    <w:rsid w:val="00DB21F5"/>
    <w:rsid w:val="00DB6B5A"/>
    <w:rsid w:val="00DC0533"/>
    <w:rsid w:val="00DC5C6E"/>
    <w:rsid w:val="00DD7BB5"/>
    <w:rsid w:val="00DE5D33"/>
    <w:rsid w:val="00DF0D6C"/>
    <w:rsid w:val="00DF2528"/>
    <w:rsid w:val="00DF6994"/>
    <w:rsid w:val="00E01082"/>
    <w:rsid w:val="00E02DAF"/>
    <w:rsid w:val="00E05479"/>
    <w:rsid w:val="00E07FA4"/>
    <w:rsid w:val="00E12E69"/>
    <w:rsid w:val="00E15721"/>
    <w:rsid w:val="00E21436"/>
    <w:rsid w:val="00E2699B"/>
    <w:rsid w:val="00E32F51"/>
    <w:rsid w:val="00E4387F"/>
    <w:rsid w:val="00E43C61"/>
    <w:rsid w:val="00E55A80"/>
    <w:rsid w:val="00E55FEC"/>
    <w:rsid w:val="00E95655"/>
    <w:rsid w:val="00E9728B"/>
    <w:rsid w:val="00EA60CF"/>
    <w:rsid w:val="00ED103E"/>
    <w:rsid w:val="00ED53BC"/>
    <w:rsid w:val="00ED5833"/>
    <w:rsid w:val="00ED5B0D"/>
    <w:rsid w:val="00EE1F02"/>
    <w:rsid w:val="00EE428D"/>
    <w:rsid w:val="00EE5E58"/>
    <w:rsid w:val="00EE7750"/>
    <w:rsid w:val="00EF65B4"/>
    <w:rsid w:val="00F02DAD"/>
    <w:rsid w:val="00F055C4"/>
    <w:rsid w:val="00F0791E"/>
    <w:rsid w:val="00F13ACE"/>
    <w:rsid w:val="00F1614F"/>
    <w:rsid w:val="00F252C7"/>
    <w:rsid w:val="00F42253"/>
    <w:rsid w:val="00F46B32"/>
    <w:rsid w:val="00F5172D"/>
    <w:rsid w:val="00F64DBD"/>
    <w:rsid w:val="00F75808"/>
    <w:rsid w:val="00F80C57"/>
    <w:rsid w:val="00F81CA3"/>
    <w:rsid w:val="00F921A1"/>
    <w:rsid w:val="00F96773"/>
    <w:rsid w:val="00FA5DDD"/>
    <w:rsid w:val="00FB04ED"/>
    <w:rsid w:val="00FC103C"/>
    <w:rsid w:val="00FD5F54"/>
    <w:rsid w:val="00FD634C"/>
    <w:rsid w:val="00FE1B6A"/>
    <w:rsid w:val="00FE786A"/>
    <w:rsid w:val="00FE7A4E"/>
    <w:rsid w:val="00FF089F"/>
    <w:rsid w:val="00FF4E66"/>
    <w:rsid w:val="00FF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46B9FD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62CE"/>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paragraph" w:styleId="Heading3">
    <w:name w:val="heading 3"/>
    <w:basedOn w:val="Normal"/>
    <w:next w:val="Normal"/>
    <w:link w:val="Heading3Char"/>
    <w:uiPriority w:val="9"/>
    <w:semiHidden/>
    <w:qFormat/>
    <w:rsid w:val="00421884"/>
    <w:pPr>
      <w:keepNext/>
      <w:keepLines/>
      <w:spacing w:before="40" w:after="0"/>
      <w:outlineLvl w:val="2"/>
    </w:pPr>
    <w:rPr>
      <w:rFonts w:asciiTheme="majorHAnsi" w:eastAsiaTheme="majorEastAsia" w:hAnsiTheme="majorHAnsi" w:cstheme="majorBidi"/>
      <w:color w:val="0D395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customStyle="1" w:styleId="UnresolvedMention1">
    <w:name w:val="Unresolved Mention1"/>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qFormat/>
    <w:rsid w:val="00034F4B"/>
    <w:rPr>
      <w:i/>
      <w:iCs/>
    </w:rPr>
  </w:style>
  <w:style w:type="character" w:customStyle="1" w:styleId="Hashtag1">
    <w:name w:val="Hashtag1"/>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styleId="BalloonText">
    <w:name w:val="Balloon Text"/>
    <w:basedOn w:val="Normal"/>
    <w:link w:val="BalloonTextChar"/>
    <w:uiPriority w:val="99"/>
    <w:semiHidden/>
    <w:unhideWhenUsed/>
    <w:rsid w:val="003F4B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29"/>
    <w:rPr>
      <w:rFonts w:ascii="Segoe UI" w:hAnsi="Segoe UI" w:cs="Segoe UI"/>
      <w:sz w:val="18"/>
      <w:szCs w:val="18"/>
    </w:rPr>
  </w:style>
  <w:style w:type="character" w:styleId="Hyperlink">
    <w:name w:val="Hyperlink"/>
    <w:basedOn w:val="DefaultParagraphFont"/>
    <w:uiPriority w:val="99"/>
    <w:unhideWhenUsed/>
    <w:rsid w:val="003F4B29"/>
    <w:rPr>
      <w:color w:val="0046AD"/>
      <w:u w:val="single"/>
    </w:rPr>
  </w:style>
  <w:style w:type="character" w:styleId="CommentReference">
    <w:name w:val="annotation reference"/>
    <w:basedOn w:val="DefaultParagraphFont"/>
    <w:uiPriority w:val="99"/>
    <w:semiHidden/>
    <w:unhideWhenUsed/>
    <w:rsid w:val="002E1EC1"/>
    <w:rPr>
      <w:sz w:val="16"/>
      <w:szCs w:val="16"/>
    </w:rPr>
  </w:style>
  <w:style w:type="paragraph" w:styleId="CommentText">
    <w:name w:val="annotation text"/>
    <w:basedOn w:val="Normal"/>
    <w:link w:val="CommentTextChar"/>
    <w:uiPriority w:val="99"/>
    <w:semiHidden/>
    <w:unhideWhenUsed/>
    <w:rsid w:val="002E1EC1"/>
    <w:rPr>
      <w:sz w:val="20"/>
      <w:szCs w:val="20"/>
    </w:rPr>
  </w:style>
  <w:style w:type="character" w:customStyle="1" w:styleId="CommentTextChar">
    <w:name w:val="Comment Text Char"/>
    <w:basedOn w:val="DefaultParagraphFont"/>
    <w:link w:val="CommentText"/>
    <w:uiPriority w:val="99"/>
    <w:semiHidden/>
    <w:rsid w:val="002E1EC1"/>
    <w:rPr>
      <w:rFonts w:cs="Georgia"/>
      <w:sz w:val="20"/>
      <w:szCs w:val="20"/>
    </w:rPr>
  </w:style>
  <w:style w:type="paragraph" w:styleId="CommentSubject">
    <w:name w:val="annotation subject"/>
    <w:basedOn w:val="CommentText"/>
    <w:next w:val="CommentText"/>
    <w:link w:val="CommentSubjectChar"/>
    <w:uiPriority w:val="99"/>
    <w:semiHidden/>
    <w:unhideWhenUsed/>
    <w:rsid w:val="002E1EC1"/>
    <w:rPr>
      <w:b/>
      <w:bCs/>
    </w:rPr>
  </w:style>
  <w:style w:type="character" w:customStyle="1" w:styleId="CommentSubjectChar">
    <w:name w:val="Comment Subject Char"/>
    <w:basedOn w:val="CommentTextChar"/>
    <w:link w:val="CommentSubject"/>
    <w:uiPriority w:val="99"/>
    <w:semiHidden/>
    <w:rsid w:val="002E1EC1"/>
    <w:rPr>
      <w:rFonts w:cs="Georgia"/>
      <w:b/>
      <w:bCs/>
      <w:sz w:val="20"/>
      <w:szCs w:val="20"/>
    </w:rPr>
  </w:style>
  <w:style w:type="character" w:styleId="FollowedHyperlink">
    <w:name w:val="FollowedHyperlink"/>
    <w:basedOn w:val="DefaultParagraphFont"/>
    <w:uiPriority w:val="99"/>
    <w:semiHidden/>
    <w:unhideWhenUsed/>
    <w:rsid w:val="00762796"/>
    <w:rPr>
      <w:color w:val="85DFD0" w:themeColor="followedHyperlink"/>
      <w:u w:val="single"/>
    </w:rPr>
  </w:style>
  <w:style w:type="character" w:styleId="UnresolvedMention">
    <w:name w:val="Unresolved Mention"/>
    <w:basedOn w:val="DefaultParagraphFont"/>
    <w:uiPriority w:val="99"/>
    <w:semiHidden/>
    <w:unhideWhenUsed/>
    <w:rsid w:val="00076B79"/>
    <w:rPr>
      <w:color w:val="605E5C"/>
      <w:shd w:val="clear" w:color="auto" w:fill="E1DFDD"/>
    </w:rPr>
  </w:style>
  <w:style w:type="character" w:customStyle="1" w:styleId="Heading3Char">
    <w:name w:val="Heading 3 Char"/>
    <w:basedOn w:val="DefaultParagraphFont"/>
    <w:link w:val="Heading3"/>
    <w:uiPriority w:val="9"/>
    <w:semiHidden/>
    <w:rsid w:val="00421884"/>
    <w:rPr>
      <w:rFonts w:asciiTheme="majorHAnsi" w:eastAsiaTheme="majorEastAsia" w:hAnsiTheme="majorHAnsi" w:cstheme="majorBidi"/>
      <w:color w:val="0D395D" w:themeColor="accent1" w:themeShade="7F"/>
      <w:sz w:val="24"/>
      <w:szCs w:val="24"/>
    </w:rPr>
  </w:style>
  <w:style w:type="paragraph" w:styleId="NormalWeb">
    <w:name w:val="Normal (Web)"/>
    <w:basedOn w:val="Normal"/>
    <w:uiPriority w:val="99"/>
    <w:unhideWhenUsed/>
    <w:rsid w:val="00637FD1"/>
    <w:pPr>
      <w:widowControl/>
      <w:autoSpaceDE/>
      <w:autoSpaceDN/>
      <w:adjustRightInd/>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9F607A"/>
    <w:pPr>
      <w:spacing w:after="0"/>
    </w:pPr>
    <w:rPr>
      <w:rFonts w:cs="Georgia"/>
    </w:rPr>
  </w:style>
  <w:style w:type="paragraph" w:customStyle="1" w:styleId="paragraph">
    <w:name w:val="paragraph"/>
    <w:basedOn w:val="Normal"/>
    <w:rsid w:val="00B8262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8262A"/>
  </w:style>
  <w:style w:type="character" w:customStyle="1" w:styleId="eop">
    <w:name w:val="eop"/>
    <w:basedOn w:val="DefaultParagraphFont"/>
    <w:rsid w:val="00B8262A"/>
  </w:style>
  <w:style w:type="paragraph" w:customStyle="1" w:styleId="psindent0">
    <w:name w:val="ps_indent_0"/>
    <w:basedOn w:val="Normal"/>
    <w:rsid w:val="0002460A"/>
    <w:pPr>
      <w:widowControl/>
      <w:autoSpaceDE/>
      <w:autoSpaceDN/>
      <w:adjustRightInd/>
      <w:spacing w:before="240" w:after="240"/>
      <w:ind w:left="720"/>
    </w:pPr>
    <w:rPr>
      <w:rFonts w:ascii="Times New Roman" w:eastAsiaTheme="minorHAnsi" w:hAnsi="Times New Roman" w:cs="Times New Roman"/>
      <w:sz w:val="24"/>
      <w:szCs w:val="24"/>
    </w:rPr>
  </w:style>
  <w:style w:type="paragraph" w:customStyle="1" w:styleId="trt0xe">
    <w:name w:val="trt0xe"/>
    <w:basedOn w:val="Normal"/>
    <w:rsid w:val="0092077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otnoteText1">
    <w:name w:val="Footnote Text1"/>
    <w:basedOn w:val="Normal"/>
    <w:next w:val="FootnoteText"/>
    <w:link w:val="FootnoteTextChar"/>
    <w:uiPriority w:val="99"/>
    <w:semiHidden/>
    <w:unhideWhenUsed/>
    <w:rsid w:val="00D3383C"/>
    <w:pPr>
      <w:widowControl/>
      <w:autoSpaceDE/>
      <w:autoSpaceDN/>
      <w:adjustRightInd/>
      <w:spacing w:after="0"/>
    </w:pPr>
    <w:rPr>
      <w:rFonts w:ascii="Calibri" w:hAnsi="Calibri" w:cs="Calibri"/>
      <w:sz w:val="20"/>
      <w:szCs w:val="20"/>
    </w:rPr>
  </w:style>
  <w:style w:type="character" w:customStyle="1" w:styleId="FootnoteTextChar">
    <w:name w:val="Footnote Text Char"/>
    <w:basedOn w:val="DefaultParagraphFont"/>
    <w:link w:val="FootnoteText1"/>
    <w:uiPriority w:val="99"/>
    <w:semiHidden/>
    <w:rsid w:val="00D3383C"/>
    <w:rPr>
      <w:rFonts w:ascii="Calibri" w:hAnsi="Calibri" w:cs="Calibri"/>
      <w:sz w:val="20"/>
      <w:szCs w:val="20"/>
    </w:rPr>
  </w:style>
  <w:style w:type="character" w:styleId="FootnoteReference">
    <w:name w:val="footnote reference"/>
    <w:basedOn w:val="DefaultParagraphFont"/>
    <w:uiPriority w:val="99"/>
    <w:semiHidden/>
    <w:unhideWhenUsed/>
    <w:rsid w:val="00D3383C"/>
    <w:rPr>
      <w:rFonts w:cs="Times New Roman"/>
      <w:vertAlign w:val="superscript"/>
    </w:rPr>
  </w:style>
  <w:style w:type="paragraph" w:styleId="FootnoteText">
    <w:name w:val="footnote text"/>
    <w:basedOn w:val="Normal"/>
    <w:link w:val="FootnoteTextChar1"/>
    <w:uiPriority w:val="99"/>
    <w:semiHidden/>
    <w:unhideWhenUsed/>
    <w:rsid w:val="00D3383C"/>
    <w:pPr>
      <w:spacing w:after="0"/>
    </w:pPr>
    <w:rPr>
      <w:sz w:val="20"/>
      <w:szCs w:val="20"/>
    </w:rPr>
  </w:style>
  <w:style w:type="character" w:customStyle="1" w:styleId="FootnoteTextChar1">
    <w:name w:val="Footnote Text Char1"/>
    <w:basedOn w:val="DefaultParagraphFont"/>
    <w:link w:val="FootnoteText"/>
    <w:uiPriority w:val="99"/>
    <w:semiHidden/>
    <w:rsid w:val="00D3383C"/>
    <w:rPr>
      <w:rFonts w:cs="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1032">
      <w:bodyDiv w:val="1"/>
      <w:marLeft w:val="0"/>
      <w:marRight w:val="0"/>
      <w:marTop w:val="0"/>
      <w:marBottom w:val="0"/>
      <w:divBdr>
        <w:top w:val="none" w:sz="0" w:space="0" w:color="auto"/>
        <w:left w:val="none" w:sz="0" w:space="0" w:color="auto"/>
        <w:bottom w:val="none" w:sz="0" w:space="0" w:color="auto"/>
        <w:right w:val="none" w:sz="0" w:space="0" w:color="auto"/>
      </w:divBdr>
    </w:div>
    <w:div w:id="173543880">
      <w:bodyDiv w:val="1"/>
      <w:marLeft w:val="0"/>
      <w:marRight w:val="0"/>
      <w:marTop w:val="0"/>
      <w:marBottom w:val="0"/>
      <w:divBdr>
        <w:top w:val="none" w:sz="0" w:space="0" w:color="auto"/>
        <w:left w:val="none" w:sz="0" w:space="0" w:color="auto"/>
        <w:bottom w:val="none" w:sz="0" w:space="0" w:color="auto"/>
        <w:right w:val="none" w:sz="0" w:space="0" w:color="auto"/>
      </w:divBdr>
    </w:div>
    <w:div w:id="291400775">
      <w:bodyDiv w:val="1"/>
      <w:marLeft w:val="0"/>
      <w:marRight w:val="0"/>
      <w:marTop w:val="0"/>
      <w:marBottom w:val="0"/>
      <w:divBdr>
        <w:top w:val="none" w:sz="0" w:space="0" w:color="auto"/>
        <w:left w:val="none" w:sz="0" w:space="0" w:color="auto"/>
        <w:bottom w:val="none" w:sz="0" w:space="0" w:color="auto"/>
        <w:right w:val="none" w:sz="0" w:space="0" w:color="auto"/>
      </w:divBdr>
    </w:div>
    <w:div w:id="393698241">
      <w:bodyDiv w:val="1"/>
      <w:marLeft w:val="0"/>
      <w:marRight w:val="0"/>
      <w:marTop w:val="0"/>
      <w:marBottom w:val="0"/>
      <w:divBdr>
        <w:top w:val="none" w:sz="0" w:space="0" w:color="auto"/>
        <w:left w:val="none" w:sz="0" w:space="0" w:color="auto"/>
        <w:bottom w:val="none" w:sz="0" w:space="0" w:color="auto"/>
        <w:right w:val="none" w:sz="0" w:space="0" w:color="auto"/>
      </w:divBdr>
    </w:div>
    <w:div w:id="510950548">
      <w:bodyDiv w:val="1"/>
      <w:marLeft w:val="0"/>
      <w:marRight w:val="0"/>
      <w:marTop w:val="0"/>
      <w:marBottom w:val="0"/>
      <w:divBdr>
        <w:top w:val="none" w:sz="0" w:space="0" w:color="auto"/>
        <w:left w:val="none" w:sz="0" w:space="0" w:color="auto"/>
        <w:bottom w:val="none" w:sz="0" w:space="0" w:color="auto"/>
        <w:right w:val="none" w:sz="0" w:space="0" w:color="auto"/>
      </w:divBdr>
    </w:div>
    <w:div w:id="575630342">
      <w:bodyDiv w:val="1"/>
      <w:marLeft w:val="0"/>
      <w:marRight w:val="0"/>
      <w:marTop w:val="0"/>
      <w:marBottom w:val="0"/>
      <w:divBdr>
        <w:top w:val="none" w:sz="0" w:space="0" w:color="auto"/>
        <w:left w:val="none" w:sz="0" w:space="0" w:color="auto"/>
        <w:bottom w:val="none" w:sz="0" w:space="0" w:color="auto"/>
        <w:right w:val="none" w:sz="0" w:space="0" w:color="auto"/>
      </w:divBdr>
    </w:div>
    <w:div w:id="655911998">
      <w:bodyDiv w:val="1"/>
      <w:marLeft w:val="0"/>
      <w:marRight w:val="0"/>
      <w:marTop w:val="0"/>
      <w:marBottom w:val="0"/>
      <w:divBdr>
        <w:top w:val="none" w:sz="0" w:space="0" w:color="auto"/>
        <w:left w:val="none" w:sz="0" w:space="0" w:color="auto"/>
        <w:bottom w:val="none" w:sz="0" w:space="0" w:color="auto"/>
        <w:right w:val="none" w:sz="0" w:space="0" w:color="auto"/>
      </w:divBdr>
    </w:div>
    <w:div w:id="659892040">
      <w:bodyDiv w:val="1"/>
      <w:marLeft w:val="0"/>
      <w:marRight w:val="0"/>
      <w:marTop w:val="0"/>
      <w:marBottom w:val="0"/>
      <w:divBdr>
        <w:top w:val="none" w:sz="0" w:space="0" w:color="auto"/>
        <w:left w:val="none" w:sz="0" w:space="0" w:color="auto"/>
        <w:bottom w:val="none" w:sz="0" w:space="0" w:color="auto"/>
        <w:right w:val="none" w:sz="0" w:space="0" w:color="auto"/>
      </w:divBdr>
    </w:div>
    <w:div w:id="801266997">
      <w:bodyDiv w:val="1"/>
      <w:marLeft w:val="0"/>
      <w:marRight w:val="0"/>
      <w:marTop w:val="0"/>
      <w:marBottom w:val="0"/>
      <w:divBdr>
        <w:top w:val="none" w:sz="0" w:space="0" w:color="auto"/>
        <w:left w:val="none" w:sz="0" w:space="0" w:color="auto"/>
        <w:bottom w:val="none" w:sz="0" w:space="0" w:color="auto"/>
        <w:right w:val="none" w:sz="0" w:space="0" w:color="auto"/>
      </w:divBdr>
    </w:div>
    <w:div w:id="808741269">
      <w:bodyDiv w:val="1"/>
      <w:marLeft w:val="0"/>
      <w:marRight w:val="0"/>
      <w:marTop w:val="0"/>
      <w:marBottom w:val="0"/>
      <w:divBdr>
        <w:top w:val="none" w:sz="0" w:space="0" w:color="auto"/>
        <w:left w:val="none" w:sz="0" w:space="0" w:color="auto"/>
        <w:bottom w:val="none" w:sz="0" w:space="0" w:color="auto"/>
        <w:right w:val="none" w:sz="0" w:space="0" w:color="auto"/>
      </w:divBdr>
    </w:div>
    <w:div w:id="846597413">
      <w:bodyDiv w:val="1"/>
      <w:marLeft w:val="0"/>
      <w:marRight w:val="0"/>
      <w:marTop w:val="0"/>
      <w:marBottom w:val="0"/>
      <w:divBdr>
        <w:top w:val="none" w:sz="0" w:space="0" w:color="auto"/>
        <w:left w:val="none" w:sz="0" w:space="0" w:color="auto"/>
        <w:bottom w:val="none" w:sz="0" w:space="0" w:color="auto"/>
        <w:right w:val="none" w:sz="0" w:space="0" w:color="auto"/>
      </w:divBdr>
    </w:div>
    <w:div w:id="887760951">
      <w:bodyDiv w:val="1"/>
      <w:marLeft w:val="0"/>
      <w:marRight w:val="0"/>
      <w:marTop w:val="0"/>
      <w:marBottom w:val="0"/>
      <w:divBdr>
        <w:top w:val="none" w:sz="0" w:space="0" w:color="auto"/>
        <w:left w:val="none" w:sz="0" w:space="0" w:color="auto"/>
        <w:bottom w:val="none" w:sz="0" w:space="0" w:color="auto"/>
        <w:right w:val="none" w:sz="0" w:space="0" w:color="auto"/>
      </w:divBdr>
    </w:div>
    <w:div w:id="896816316">
      <w:bodyDiv w:val="1"/>
      <w:marLeft w:val="0"/>
      <w:marRight w:val="0"/>
      <w:marTop w:val="0"/>
      <w:marBottom w:val="0"/>
      <w:divBdr>
        <w:top w:val="none" w:sz="0" w:space="0" w:color="auto"/>
        <w:left w:val="none" w:sz="0" w:space="0" w:color="auto"/>
        <w:bottom w:val="none" w:sz="0" w:space="0" w:color="auto"/>
        <w:right w:val="none" w:sz="0" w:space="0" w:color="auto"/>
      </w:divBdr>
    </w:div>
    <w:div w:id="954022445">
      <w:bodyDiv w:val="1"/>
      <w:marLeft w:val="0"/>
      <w:marRight w:val="0"/>
      <w:marTop w:val="0"/>
      <w:marBottom w:val="0"/>
      <w:divBdr>
        <w:top w:val="none" w:sz="0" w:space="0" w:color="auto"/>
        <w:left w:val="none" w:sz="0" w:space="0" w:color="auto"/>
        <w:bottom w:val="none" w:sz="0" w:space="0" w:color="auto"/>
        <w:right w:val="none" w:sz="0" w:space="0" w:color="auto"/>
      </w:divBdr>
    </w:div>
    <w:div w:id="1037849843">
      <w:bodyDiv w:val="1"/>
      <w:marLeft w:val="0"/>
      <w:marRight w:val="0"/>
      <w:marTop w:val="0"/>
      <w:marBottom w:val="0"/>
      <w:divBdr>
        <w:top w:val="none" w:sz="0" w:space="0" w:color="auto"/>
        <w:left w:val="none" w:sz="0" w:space="0" w:color="auto"/>
        <w:bottom w:val="none" w:sz="0" w:space="0" w:color="auto"/>
        <w:right w:val="none" w:sz="0" w:space="0" w:color="auto"/>
      </w:divBdr>
      <w:divsChild>
        <w:div w:id="1187983289">
          <w:marLeft w:val="0"/>
          <w:marRight w:val="0"/>
          <w:marTop w:val="0"/>
          <w:marBottom w:val="0"/>
          <w:divBdr>
            <w:top w:val="none" w:sz="0" w:space="0" w:color="auto"/>
            <w:left w:val="none" w:sz="0" w:space="0" w:color="auto"/>
            <w:bottom w:val="none" w:sz="0" w:space="0" w:color="auto"/>
            <w:right w:val="none" w:sz="0" w:space="0" w:color="auto"/>
          </w:divBdr>
        </w:div>
        <w:div w:id="1777752409">
          <w:marLeft w:val="0"/>
          <w:marRight w:val="0"/>
          <w:marTop w:val="0"/>
          <w:marBottom w:val="0"/>
          <w:divBdr>
            <w:top w:val="none" w:sz="0" w:space="0" w:color="auto"/>
            <w:left w:val="none" w:sz="0" w:space="0" w:color="auto"/>
            <w:bottom w:val="none" w:sz="0" w:space="0" w:color="auto"/>
            <w:right w:val="none" w:sz="0" w:space="0" w:color="auto"/>
          </w:divBdr>
        </w:div>
      </w:divsChild>
    </w:div>
    <w:div w:id="1071149246">
      <w:bodyDiv w:val="1"/>
      <w:marLeft w:val="0"/>
      <w:marRight w:val="0"/>
      <w:marTop w:val="0"/>
      <w:marBottom w:val="0"/>
      <w:divBdr>
        <w:top w:val="none" w:sz="0" w:space="0" w:color="auto"/>
        <w:left w:val="none" w:sz="0" w:space="0" w:color="auto"/>
        <w:bottom w:val="none" w:sz="0" w:space="0" w:color="auto"/>
        <w:right w:val="none" w:sz="0" w:space="0" w:color="auto"/>
      </w:divBdr>
    </w:div>
    <w:div w:id="1082263506">
      <w:bodyDiv w:val="1"/>
      <w:marLeft w:val="0"/>
      <w:marRight w:val="0"/>
      <w:marTop w:val="0"/>
      <w:marBottom w:val="0"/>
      <w:divBdr>
        <w:top w:val="none" w:sz="0" w:space="0" w:color="auto"/>
        <w:left w:val="none" w:sz="0" w:space="0" w:color="auto"/>
        <w:bottom w:val="none" w:sz="0" w:space="0" w:color="auto"/>
        <w:right w:val="none" w:sz="0" w:space="0" w:color="auto"/>
      </w:divBdr>
    </w:div>
    <w:div w:id="1150944147">
      <w:bodyDiv w:val="1"/>
      <w:marLeft w:val="0"/>
      <w:marRight w:val="0"/>
      <w:marTop w:val="0"/>
      <w:marBottom w:val="0"/>
      <w:divBdr>
        <w:top w:val="none" w:sz="0" w:space="0" w:color="auto"/>
        <w:left w:val="none" w:sz="0" w:space="0" w:color="auto"/>
        <w:bottom w:val="none" w:sz="0" w:space="0" w:color="auto"/>
        <w:right w:val="none" w:sz="0" w:space="0" w:color="auto"/>
      </w:divBdr>
    </w:div>
    <w:div w:id="1357384376">
      <w:bodyDiv w:val="1"/>
      <w:marLeft w:val="0"/>
      <w:marRight w:val="0"/>
      <w:marTop w:val="0"/>
      <w:marBottom w:val="0"/>
      <w:divBdr>
        <w:top w:val="none" w:sz="0" w:space="0" w:color="auto"/>
        <w:left w:val="none" w:sz="0" w:space="0" w:color="auto"/>
        <w:bottom w:val="none" w:sz="0" w:space="0" w:color="auto"/>
        <w:right w:val="none" w:sz="0" w:space="0" w:color="auto"/>
      </w:divBdr>
    </w:div>
    <w:div w:id="1449857271">
      <w:bodyDiv w:val="1"/>
      <w:marLeft w:val="0"/>
      <w:marRight w:val="0"/>
      <w:marTop w:val="0"/>
      <w:marBottom w:val="0"/>
      <w:divBdr>
        <w:top w:val="none" w:sz="0" w:space="0" w:color="auto"/>
        <w:left w:val="none" w:sz="0" w:space="0" w:color="auto"/>
        <w:bottom w:val="none" w:sz="0" w:space="0" w:color="auto"/>
        <w:right w:val="none" w:sz="0" w:space="0" w:color="auto"/>
      </w:divBdr>
    </w:div>
    <w:div w:id="1483307834">
      <w:bodyDiv w:val="1"/>
      <w:marLeft w:val="0"/>
      <w:marRight w:val="0"/>
      <w:marTop w:val="0"/>
      <w:marBottom w:val="0"/>
      <w:divBdr>
        <w:top w:val="none" w:sz="0" w:space="0" w:color="auto"/>
        <w:left w:val="none" w:sz="0" w:space="0" w:color="auto"/>
        <w:bottom w:val="none" w:sz="0" w:space="0" w:color="auto"/>
        <w:right w:val="none" w:sz="0" w:space="0" w:color="auto"/>
      </w:divBdr>
      <w:divsChild>
        <w:div w:id="159542543">
          <w:marLeft w:val="0"/>
          <w:marRight w:val="0"/>
          <w:marTop w:val="0"/>
          <w:marBottom w:val="0"/>
          <w:divBdr>
            <w:top w:val="none" w:sz="0" w:space="0" w:color="auto"/>
            <w:left w:val="none" w:sz="0" w:space="0" w:color="auto"/>
            <w:bottom w:val="none" w:sz="0" w:space="0" w:color="auto"/>
            <w:right w:val="none" w:sz="0" w:space="0" w:color="auto"/>
          </w:divBdr>
        </w:div>
        <w:div w:id="1915816586">
          <w:marLeft w:val="0"/>
          <w:marRight w:val="0"/>
          <w:marTop w:val="0"/>
          <w:marBottom w:val="0"/>
          <w:divBdr>
            <w:top w:val="none" w:sz="0" w:space="0" w:color="auto"/>
            <w:left w:val="none" w:sz="0" w:space="0" w:color="auto"/>
            <w:bottom w:val="none" w:sz="0" w:space="0" w:color="auto"/>
            <w:right w:val="none" w:sz="0" w:space="0" w:color="auto"/>
          </w:divBdr>
        </w:div>
        <w:div w:id="1567062404">
          <w:marLeft w:val="0"/>
          <w:marRight w:val="0"/>
          <w:marTop w:val="0"/>
          <w:marBottom w:val="0"/>
          <w:divBdr>
            <w:top w:val="none" w:sz="0" w:space="0" w:color="auto"/>
            <w:left w:val="none" w:sz="0" w:space="0" w:color="auto"/>
            <w:bottom w:val="none" w:sz="0" w:space="0" w:color="auto"/>
            <w:right w:val="none" w:sz="0" w:space="0" w:color="auto"/>
          </w:divBdr>
        </w:div>
        <w:div w:id="1934971220">
          <w:marLeft w:val="0"/>
          <w:marRight w:val="0"/>
          <w:marTop w:val="0"/>
          <w:marBottom w:val="0"/>
          <w:divBdr>
            <w:top w:val="none" w:sz="0" w:space="0" w:color="auto"/>
            <w:left w:val="none" w:sz="0" w:space="0" w:color="auto"/>
            <w:bottom w:val="none" w:sz="0" w:space="0" w:color="auto"/>
            <w:right w:val="none" w:sz="0" w:space="0" w:color="auto"/>
          </w:divBdr>
        </w:div>
        <w:div w:id="855459840">
          <w:marLeft w:val="0"/>
          <w:marRight w:val="0"/>
          <w:marTop w:val="0"/>
          <w:marBottom w:val="0"/>
          <w:divBdr>
            <w:top w:val="none" w:sz="0" w:space="0" w:color="auto"/>
            <w:left w:val="none" w:sz="0" w:space="0" w:color="auto"/>
            <w:bottom w:val="none" w:sz="0" w:space="0" w:color="auto"/>
            <w:right w:val="none" w:sz="0" w:space="0" w:color="auto"/>
          </w:divBdr>
        </w:div>
        <w:div w:id="1598440362">
          <w:marLeft w:val="0"/>
          <w:marRight w:val="0"/>
          <w:marTop w:val="0"/>
          <w:marBottom w:val="0"/>
          <w:divBdr>
            <w:top w:val="none" w:sz="0" w:space="0" w:color="auto"/>
            <w:left w:val="none" w:sz="0" w:space="0" w:color="auto"/>
            <w:bottom w:val="none" w:sz="0" w:space="0" w:color="auto"/>
            <w:right w:val="none" w:sz="0" w:space="0" w:color="auto"/>
          </w:divBdr>
          <w:divsChild>
            <w:div w:id="1274677436">
              <w:marLeft w:val="0"/>
              <w:marRight w:val="0"/>
              <w:marTop w:val="0"/>
              <w:marBottom w:val="0"/>
              <w:divBdr>
                <w:top w:val="none" w:sz="0" w:space="0" w:color="auto"/>
                <w:left w:val="none" w:sz="0" w:space="0" w:color="auto"/>
                <w:bottom w:val="none" w:sz="0" w:space="0" w:color="auto"/>
                <w:right w:val="none" w:sz="0" w:space="0" w:color="auto"/>
              </w:divBdr>
            </w:div>
            <w:div w:id="279721890">
              <w:marLeft w:val="0"/>
              <w:marRight w:val="0"/>
              <w:marTop w:val="0"/>
              <w:marBottom w:val="0"/>
              <w:divBdr>
                <w:top w:val="none" w:sz="0" w:space="0" w:color="auto"/>
                <w:left w:val="none" w:sz="0" w:space="0" w:color="auto"/>
                <w:bottom w:val="none" w:sz="0" w:space="0" w:color="auto"/>
                <w:right w:val="none" w:sz="0" w:space="0" w:color="auto"/>
              </w:divBdr>
            </w:div>
            <w:div w:id="1770808998">
              <w:marLeft w:val="0"/>
              <w:marRight w:val="0"/>
              <w:marTop w:val="0"/>
              <w:marBottom w:val="0"/>
              <w:divBdr>
                <w:top w:val="none" w:sz="0" w:space="0" w:color="auto"/>
                <w:left w:val="none" w:sz="0" w:space="0" w:color="auto"/>
                <w:bottom w:val="none" w:sz="0" w:space="0" w:color="auto"/>
                <w:right w:val="none" w:sz="0" w:space="0" w:color="auto"/>
              </w:divBdr>
            </w:div>
            <w:div w:id="220139593">
              <w:marLeft w:val="0"/>
              <w:marRight w:val="0"/>
              <w:marTop w:val="0"/>
              <w:marBottom w:val="0"/>
              <w:divBdr>
                <w:top w:val="none" w:sz="0" w:space="0" w:color="auto"/>
                <w:left w:val="none" w:sz="0" w:space="0" w:color="auto"/>
                <w:bottom w:val="none" w:sz="0" w:space="0" w:color="auto"/>
                <w:right w:val="none" w:sz="0" w:space="0" w:color="auto"/>
              </w:divBdr>
            </w:div>
            <w:div w:id="2050372507">
              <w:marLeft w:val="0"/>
              <w:marRight w:val="0"/>
              <w:marTop w:val="0"/>
              <w:marBottom w:val="0"/>
              <w:divBdr>
                <w:top w:val="none" w:sz="0" w:space="0" w:color="auto"/>
                <w:left w:val="none" w:sz="0" w:space="0" w:color="auto"/>
                <w:bottom w:val="none" w:sz="0" w:space="0" w:color="auto"/>
                <w:right w:val="none" w:sz="0" w:space="0" w:color="auto"/>
              </w:divBdr>
            </w:div>
          </w:divsChild>
        </w:div>
        <w:div w:id="1037582146">
          <w:marLeft w:val="0"/>
          <w:marRight w:val="0"/>
          <w:marTop w:val="0"/>
          <w:marBottom w:val="0"/>
          <w:divBdr>
            <w:top w:val="none" w:sz="0" w:space="0" w:color="auto"/>
            <w:left w:val="none" w:sz="0" w:space="0" w:color="auto"/>
            <w:bottom w:val="none" w:sz="0" w:space="0" w:color="auto"/>
            <w:right w:val="none" w:sz="0" w:space="0" w:color="auto"/>
          </w:divBdr>
          <w:divsChild>
            <w:div w:id="1522431626">
              <w:marLeft w:val="0"/>
              <w:marRight w:val="0"/>
              <w:marTop w:val="0"/>
              <w:marBottom w:val="0"/>
              <w:divBdr>
                <w:top w:val="none" w:sz="0" w:space="0" w:color="auto"/>
                <w:left w:val="none" w:sz="0" w:space="0" w:color="auto"/>
                <w:bottom w:val="none" w:sz="0" w:space="0" w:color="auto"/>
                <w:right w:val="none" w:sz="0" w:space="0" w:color="auto"/>
              </w:divBdr>
            </w:div>
            <w:div w:id="1043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502">
      <w:bodyDiv w:val="1"/>
      <w:marLeft w:val="0"/>
      <w:marRight w:val="0"/>
      <w:marTop w:val="0"/>
      <w:marBottom w:val="0"/>
      <w:divBdr>
        <w:top w:val="none" w:sz="0" w:space="0" w:color="auto"/>
        <w:left w:val="none" w:sz="0" w:space="0" w:color="auto"/>
        <w:bottom w:val="none" w:sz="0" w:space="0" w:color="auto"/>
        <w:right w:val="none" w:sz="0" w:space="0" w:color="auto"/>
      </w:divBdr>
    </w:div>
    <w:div w:id="1530416162">
      <w:bodyDiv w:val="1"/>
      <w:marLeft w:val="0"/>
      <w:marRight w:val="0"/>
      <w:marTop w:val="0"/>
      <w:marBottom w:val="0"/>
      <w:divBdr>
        <w:top w:val="none" w:sz="0" w:space="0" w:color="auto"/>
        <w:left w:val="none" w:sz="0" w:space="0" w:color="auto"/>
        <w:bottom w:val="none" w:sz="0" w:space="0" w:color="auto"/>
        <w:right w:val="none" w:sz="0" w:space="0" w:color="auto"/>
      </w:divBdr>
    </w:div>
    <w:div w:id="1604652271">
      <w:bodyDiv w:val="1"/>
      <w:marLeft w:val="0"/>
      <w:marRight w:val="0"/>
      <w:marTop w:val="0"/>
      <w:marBottom w:val="0"/>
      <w:divBdr>
        <w:top w:val="none" w:sz="0" w:space="0" w:color="auto"/>
        <w:left w:val="none" w:sz="0" w:space="0" w:color="auto"/>
        <w:bottom w:val="none" w:sz="0" w:space="0" w:color="auto"/>
        <w:right w:val="none" w:sz="0" w:space="0" w:color="auto"/>
      </w:divBdr>
    </w:div>
    <w:div w:id="1842236559">
      <w:bodyDiv w:val="1"/>
      <w:marLeft w:val="0"/>
      <w:marRight w:val="0"/>
      <w:marTop w:val="0"/>
      <w:marBottom w:val="0"/>
      <w:divBdr>
        <w:top w:val="none" w:sz="0" w:space="0" w:color="auto"/>
        <w:left w:val="none" w:sz="0" w:space="0" w:color="auto"/>
        <w:bottom w:val="none" w:sz="0" w:space="0" w:color="auto"/>
        <w:right w:val="none" w:sz="0" w:space="0" w:color="auto"/>
      </w:divBdr>
      <w:divsChild>
        <w:div w:id="31612299">
          <w:marLeft w:val="0"/>
          <w:marRight w:val="0"/>
          <w:marTop w:val="0"/>
          <w:marBottom w:val="0"/>
          <w:divBdr>
            <w:top w:val="none" w:sz="0" w:space="0" w:color="auto"/>
            <w:left w:val="none" w:sz="0" w:space="0" w:color="auto"/>
            <w:bottom w:val="none" w:sz="0" w:space="0" w:color="auto"/>
            <w:right w:val="none" w:sz="0" w:space="0" w:color="auto"/>
          </w:divBdr>
          <w:divsChild>
            <w:div w:id="767385771">
              <w:marLeft w:val="0"/>
              <w:marRight w:val="0"/>
              <w:marTop w:val="0"/>
              <w:marBottom w:val="0"/>
              <w:divBdr>
                <w:top w:val="none" w:sz="0" w:space="0" w:color="auto"/>
                <w:left w:val="none" w:sz="0" w:space="0" w:color="auto"/>
                <w:bottom w:val="none" w:sz="0" w:space="0" w:color="auto"/>
                <w:right w:val="none" w:sz="0" w:space="0" w:color="auto"/>
              </w:divBdr>
            </w:div>
            <w:div w:id="389964822">
              <w:marLeft w:val="0"/>
              <w:marRight w:val="0"/>
              <w:marTop w:val="0"/>
              <w:marBottom w:val="0"/>
              <w:divBdr>
                <w:top w:val="none" w:sz="0" w:space="0" w:color="auto"/>
                <w:left w:val="none" w:sz="0" w:space="0" w:color="auto"/>
                <w:bottom w:val="none" w:sz="0" w:space="0" w:color="auto"/>
                <w:right w:val="none" w:sz="0" w:space="0" w:color="auto"/>
              </w:divBdr>
            </w:div>
            <w:div w:id="2034572904">
              <w:marLeft w:val="0"/>
              <w:marRight w:val="0"/>
              <w:marTop w:val="0"/>
              <w:marBottom w:val="0"/>
              <w:divBdr>
                <w:top w:val="none" w:sz="0" w:space="0" w:color="auto"/>
                <w:left w:val="none" w:sz="0" w:space="0" w:color="auto"/>
                <w:bottom w:val="none" w:sz="0" w:space="0" w:color="auto"/>
                <w:right w:val="none" w:sz="0" w:space="0" w:color="auto"/>
              </w:divBdr>
            </w:div>
          </w:divsChild>
        </w:div>
        <w:div w:id="774715335">
          <w:marLeft w:val="0"/>
          <w:marRight w:val="0"/>
          <w:marTop w:val="0"/>
          <w:marBottom w:val="0"/>
          <w:divBdr>
            <w:top w:val="none" w:sz="0" w:space="0" w:color="auto"/>
            <w:left w:val="none" w:sz="0" w:space="0" w:color="auto"/>
            <w:bottom w:val="none" w:sz="0" w:space="0" w:color="auto"/>
            <w:right w:val="none" w:sz="0" w:space="0" w:color="auto"/>
          </w:divBdr>
          <w:divsChild>
            <w:div w:id="1020207058">
              <w:marLeft w:val="0"/>
              <w:marRight w:val="0"/>
              <w:marTop w:val="0"/>
              <w:marBottom w:val="0"/>
              <w:divBdr>
                <w:top w:val="none" w:sz="0" w:space="0" w:color="auto"/>
                <w:left w:val="none" w:sz="0" w:space="0" w:color="auto"/>
                <w:bottom w:val="none" w:sz="0" w:space="0" w:color="auto"/>
                <w:right w:val="none" w:sz="0" w:space="0" w:color="auto"/>
              </w:divBdr>
            </w:div>
            <w:div w:id="1077553553">
              <w:marLeft w:val="0"/>
              <w:marRight w:val="0"/>
              <w:marTop w:val="0"/>
              <w:marBottom w:val="0"/>
              <w:divBdr>
                <w:top w:val="none" w:sz="0" w:space="0" w:color="auto"/>
                <w:left w:val="none" w:sz="0" w:space="0" w:color="auto"/>
                <w:bottom w:val="none" w:sz="0" w:space="0" w:color="auto"/>
                <w:right w:val="none" w:sz="0" w:space="0" w:color="auto"/>
              </w:divBdr>
            </w:div>
            <w:div w:id="678040651">
              <w:marLeft w:val="0"/>
              <w:marRight w:val="0"/>
              <w:marTop w:val="0"/>
              <w:marBottom w:val="0"/>
              <w:divBdr>
                <w:top w:val="none" w:sz="0" w:space="0" w:color="auto"/>
                <w:left w:val="none" w:sz="0" w:space="0" w:color="auto"/>
                <w:bottom w:val="none" w:sz="0" w:space="0" w:color="auto"/>
                <w:right w:val="none" w:sz="0" w:space="0" w:color="auto"/>
              </w:divBdr>
            </w:div>
            <w:div w:id="1793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364">
      <w:bodyDiv w:val="1"/>
      <w:marLeft w:val="0"/>
      <w:marRight w:val="0"/>
      <w:marTop w:val="0"/>
      <w:marBottom w:val="0"/>
      <w:divBdr>
        <w:top w:val="none" w:sz="0" w:space="0" w:color="auto"/>
        <w:left w:val="none" w:sz="0" w:space="0" w:color="auto"/>
        <w:bottom w:val="none" w:sz="0" w:space="0" w:color="auto"/>
        <w:right w:val="none" w:sz="0" w:space="0" w:color="auto"/>
      </w:divBdr>
    </w:div>
    <w:div w:id="1994601027">
      <w:bodyDiv w:val="1"/>
      <w:marLeft w:val="0"/>
      <w:marRight w:val="0"/>
      <w:marTop w:val="0"/>
      <w:marBottom w:val="0"/>
      <w:divBdr>
        <w:top w:val="none" w:sz="0" w:space="0" w:color="auto"/>
        <w:left w:val="none" w:sz="0" w:space="0" w:color="auto"/>
        <w:bottom w:val="none" w:sz="0" w:space="0" w:color="auto"/>
        <w:right w:val="none" w:sz="0" w:space="0" w:color="auto"/>
      </w:divBdr>
    </w:div>
    <w:div w:id="2041399182">
      <w:bodyDiv w:val="1"/>
      <w:marLeft w:val="0"/>
      <w:marRight w:val="0"/>
      <w:marTop w:val="0"/>
      <w:marBottom w:val="0"/>
      <w:divBdr>
        <w:top w:val="none" w:sz="0" w:space="0" w:color="auto"/>
        <w:left w:val="none" w:sz="0" w:space="0" w:color="auto"/>
        <w:bottom w:val="none" w:sz="0" w:space="0" w:color="auto"/>
        <w:right w:val="none" w:sz="0" w:space="0" w:color="auto"/>
      </w:divBdr>
    </w:div>
    <w:div w:id="2110194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erreview.aicpa.org/reviewer_Search.html" TargetMode="External"/><Relationship Id="rId18" Type="http://schemas.openxmlformats.org/officeDocument/2006/relationships/hyperlink" Target="mailto:prsupport@aicpa.org" TargetMode="External"/><Relationship Id="rId26" Type="http://schemas.openxmlformats.org/officeDocument/2006/relationships/hyperlink" Target="https://future.aicpa.org/resources/download/grants-and-contracts-implementation-tool-for-not-for-profits" TargetMode="External"/><Relationship Id="rId39" Type="http://schemas.openxmlformats.org/officeDocument/2006/relationships/hyperlink" Target="https://future.aicpa.org/topic/audit-assurance/covid-19-audit-assurance" TargetMode="External"/><Relationship Id="rId21" Type="http://schemas.openxmlformats.org/officeDocument/2006/relationships/hyperlink" Target="https://www.aicpa.org/content/dam/aicpa/research/standards/auditattest/downloadabledocuments/ssae-19-at-a-glance.pdf" TargetMode="External"/><Relationship Id="rId34" Type="http://schemas.openxmlformats.org/officeDocument/2006/relationships/hyperlink" Target="https://www.aicpa.org/interestareas/frc.html" TargetMode="External"/><Relationship Id="rId42" Type="http://schemas.openxmlformats.org/officeDocument/2006/relationships/hyperlink" Target="https://future.aicpa.org/cpe-learning/webcast/understanding-fraud-risks-auditing-during-the-pandemic" TargetMode="External"/><Relationship Id="rId47" Type="http://schemas.openxmlformats.org/officeDocument/2006/relationships/hyperlink" Target="https://ethicallyspeaking.libsyn.com/" TargetMode="External"/><Relationship Id="rId50" Type="http://schemas.openxmlformats.org/officeDocument/2006/relationships/hyperlink" Target="https://ethicallyspeaking.libsyn.com/"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journalofaccountancy.com/issues/2021/nov/revenue-recognition-concerns-peer-reviewers.html" TargetMode="External"/><Relationship Id="rId17" Type="http://schemas.openxmlformats.org/officeDocument/2006/relationships/hyperlink" Target="https://www.aicpa.org/interestareas/peerreview/specializedaudits.html" TargetMode="External"/><Relationship Id="rId25" Type="http://schemas.openxmlformats.org/officeDocument/2006/relationships/hyperlink" Target="https://future.aicpa.org/resources/article/fasb-standard-addresses-accounting-for-grants-and-contracts" TargetMode="External"/><Relationship Id="rId33" Type="http://schemas.openxmlformats.org/officeDocument/2006/relationships/hyperlink" Target="https://www.aicpa.org/cpe-learning/publication/not-for-profit-entities-audit-and-accounting-guide-OPL" TargetMode="External"/><Relationship Id="rId38" Type="http://schemas.openxmlformats.org/officeDocument/2006/relationships/image" Target="media/image3.png"/><Relationship Id="rId46" Type="http://schemas.openxmlformats.org/officeDocument/2006/relationships/hyperlink" Target="https://us.aicpa.org/content/dam/aicpa/eaq/eaq-highlights-report-2020.pdf" TargetMode="External"/><Relationship Id="rId2" Type="http://schemas.openxmlformats.org/officeDocument/2006/relationships/customXml" Target="../customXml/item2.xml"/><Relationship Id="rId16" Type="http://schemas.openxmlformats.org/officeDocument/2006/relationships/hyperlink" Target="https://nam12.safelinks.protection.outlook.com/?url=https%3A%2F%2Fwww.aicpa.org%2Finterestareas%2Fgovernmentalauditquality%2Fresources%2Fsingleaudit%2Funiformguidanceforfederalrewards.html%23COVID&amp;data=04%7C01%7CKaren.Aylor%40aicpa-cima.com%7C7bc2438302964c47a31808d98eb23895%7Cab44e261e3294327bbdd17a5478226a1%7C1%7C0%7C637697719442045697%7CUnknown%7CTWFpbGZsb3d8eyJWIjoiMC4wLjAwMDAiLCJQIjoiV2luMzIiLCJBTiI6Ik1haWwiLCJXVCI6Mn0%3D%7C3000&amp;sdata=4KI%2BCxIpbh3GogfhkKTpF14izcZLHv4yXGzwY2Cr8uI%3D&amp;reserved=0" TargetMode="External"/><Relationship Id="rId20" Type="http://schemas.openxmlformats.org/officeDocument/2006/relationships/hyperlink" Target="https://us.aicpa.org/content/dam/aicpa/research/standards/auditattest/downloadabledocuments/sas-134-at-a-glance.pdf" TargetMode="External"/><Relationship Id="rId29" Type="http://schemas.openxmlformats.org/officeDocument/2006/relationships/hyperlink" Target="https://future.aicpa.org/resources/article/example-disclosures-for-resource-providers-and-contributions-made" TargetMode="External"/><Relationship Id="rId41" Type="http://schemas.openxmlformats.org/officeDocument/2006/relationships/hyperlink" Target="https://www.aicpa.org/news/article/tips-for-working-with-first-time-single-audit-clien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cpa.org/interestareas/peerreview.html" TargetMode="External"/><Relationship Id="rId24" Type="http://schemas.openxmlformats.org/officeDocument/2006/relationships/hyperlink" Target="https://www.journalofaccountancy.com/news/2020/mar/fasb-accounting-relief-for-libor-transition-23162.html" TargetMode="External"/><Relationship Id="rId32" Type="http://schemas.openxmlformats.org/officeDocument/2006/relationships/hyperlink" Target="https://www.aicpa.org/interestareas/notforprofit/resources/financialaccounting.html" TargetMode="External"/><Relationship Id="rId37" Type="http://schemas.openxmlformats.org/officeDocument/2006/relationships/hyperlink" Target="https://www.aicpa.org/eaq" TargetMode="External"/><Relationship Id="rId40" Type="http://schemas.openxmlformats.org/officeDocument/2006/relationships/hyperlink" Target="https://www.journalofaccountancy.com/news/2021/apr/employee-benefit-plan-audits-key-documents-and-steps.html" TargetMode="External"/><Relationship Id="rId45" Type="http://schemas.openxmlformats.org/officeDocument/2006/relationships/hyperlink" Target="https://ethicallyspeaking.libsyn.com/ep-15-eaq-whats-it-all-about" TargetMode="External"/><Relationship Id="rId53"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nam12.safelinks.protection.outlook.com/?url=https%3A%2F%2Fwww.aicpa.org%2Finterestareas%2Fgovernmentalauditquality%2Fresources%2Fsingleaudit%2Funiformguidanceforfederalrewards.html&amp;data=04%7C01%7CKaren.Aylor%40aicpa-cima.com%7C7bc2438302964c47a31808d98eb23895%7Cab44e261e3294327bbdd17a5478226a1%7C1%7C0%7C637697719442035702%7CUnknown%7CTWFpbGZsb3d8eyJWIjoiMC4wLjAwMDAiLCJQIjoiV2luMzIiLCJBTiI6Ik1haWwiLCJXVCI6Mn0%3D%7C3000&amp;sdata=i%2FvFesZHbieTo0dZUJSyqPLOr6KAb3tAvZjjG6%2BMMhI%3D&amp;reserved=0" TargetMode="External"/><Relationship Id="rId23" Type="http://schemas.openxmlformats.org/officeDocument/2006/relationships/hyperlink" Target="https://future.aicpa.org/resources/article/top-issues-for-not-for-profits-this-year" TargetMode="External"/><Relationship Id="rId28" Type="http://schemas.openxmlformats.org/officeDocument/2006/relationships/hyperlink" Target="https://media.aicpa.org/NFP/Grants_n_Contracts_Quiz/index.html" TargetMode="External"/><Relationship Id="rId36" Type="http://schemas.openxmlformats.org/officeDocument/2006/relationships/image" Target="media/image2.jpeg"/><Relationship Id="rId49" Type="http://schemas.openxmlformats.org/officeDocument/2006/relationships/hyperlink" Target="https://us.aicpa.org/content/dam/aicpa/interestareas/professionalethics/resources/tools/downloadabledocuments/ethics-general-faqs.pdf"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s://future.aicpa.org/resources/article/example-gifts-in-kind-nfp-financial-statement-disclosures" TargetMode="External"/><Relationship Id="rId44" Type="http://schemas.openxmlformats.org/officeDocument/2006/relationships/hyperlink" Target="https://www.aicpa.org/cpe-learning/webcast/you-have-a-soc-1-report-now-what" TargetMode="External"/><Relationship Id="rId52" Type="http://schemas.openxmlformats.org/officeDocument/2006/relationships/hyperlink" Target="https://podcasts.google.com/feed/aHR0cHM6Ly9ldGhpY2FsbHlzcGVha2luZy5saWJzeW4uY29tL3Jzc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www.aicpa.org%2Fcontent%2Fdam%2Faicpa%2Finterestareas%2Fgovernmentalauditquality%2Fresources%2Fsingleaudit%2Funiformguidanceforfederalrewards%2Fdownloadabledocuments%2Fgaqc-summary-of-applicability-for-new-coronavirus-related-fed-programs-20200616.pdf&amp;data=04%7C01%7CKaren.Aylor%40aicpa-cima.com%7C7bc2438302964c47a31808d98eb23895%7Cab44e261e3294327bbdd17a5478226a1%7C1%7C0%7C637697719442025709%7CUnknown%7CTWFpbGZsb3d8eyJWIjoiMC4wLjAwMDAiLCJQIjoiV2luMzIiLCJBTiI6Ik1haWwiLCJXVCI6Mn0%3D%7C3000&amp;sdata=3496uTQjTdDIaOwHcp1GAgTRh%2FqykaOZZyOd%2B%2FUT8MM%3D&amp;reserved=0" TargetMode="External"/><Relationship Id="rId22" Type="http://schemas.openxmlformats.org/officeDocument/2006/relationships/hyperlink" Target="https://www.aicpa.org/content/dam/aicpa/interestareas/frc/auditattest/downloadabledocuments/sas-136-illustrations.pdf" TargetMode="External"/><Relationship Id="rId27" Type="http://schemas.openxmlformats.org/officeDocument/2006/relationships/hyperlink" Target="https://future.aicpa.org/resources/video/accounting-for-nonprofit-grants-and-contracts" TargetMode="External"/><Relationship Id="rId30" Type="http://schemas.openxmlformats.org/officeDocument/2006/relationships/hyperlink" Target="https://www.aicpa.org/content/dam/aicpa/interestareas/centerforplainenglishaccounting/news/2018/asu-2018-15-final.pdf?contentType=secured" TargetMode="External"/><Relationship Id="rId35" Type="http://schemas.openxmlformats.org/officeDocument/2006/relationships/hyperlink" Target="https://www.aicpa.org/interestareas/frc/accountingfinancialreporting/revenuerecognition.html" TargetMode="External"/><Relationship Id="rId43" Type="http://schemas.openxmlformats.org/officeDocument/2006/relationships/hyperlink" Target="https://www.aicpa.org/cpe-learning/course/conducting-a-remote-audit-sso" TargetMode="External"/><Relationship Id="rId48" Type="http://schemas.openxmlformats.org/officeDocument/2006/relationships/hyperlink" Target="https://us.aicpa.org/content/aicpa/interestareas/professionalethics/community/peec-project-activity.htm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podcasts.apple.com/us/podcast/ethically-speaking/id1465405517"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ar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75b3c9cb-7bd1-479f-9268-fc00791611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D81C974303B748913C43E1198B0C05" ma:contentTypeVersion="15" ma:contentTypeDescription="Create a new document." ma:contentTypeScope="" ma:versionID="a3477af0b8ed1e9e7aec8ed9b6fd69ea">
  <xsd:schema xmlns:xsd="http://www.w3.org/2001/XMLSchema" xmlns:xs="http://www.w3.org/2001/XMLSchema" xmlns:p="http://schemas.microsoft.com/office/2006/metadata/properties" xmlns:ns1="http://schemas.microsoft.com/sharepoint/v3" xmlns:ns3="75b3c9cb-7bd1-479f-9268-fc007916113e" xmlns:ns4="9812d7a0-4f9a-402c-b7a1-cdc5723cb6d9" targetNamespace="http://schemas.microsoft.com/office/2006/metadata/properties" ma:root="true" ma:fieldsID="c2cc26d362c742cebd07bb2c812e371c" ns1:_="" ns3:_="" ns4:_="">
    <xsd:import namespace="http://schemas.microsoft.com/sharepoint/v3"/>
    <xsd:import namespace="75b3c9cb-7bd1-479f-9268-fc007916113e"/>
    <xsd:import namespace="9812d7a0-4f9a-402c-b7a1-cdc5723cb6d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3c9cb-7bd1-479f-9268-fc00791611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2d7a0-4f9a-402c-b7a1-cdc5723cb6d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A05ED-A03F-4C0A-9854-3632508C0A1F}">
  <ds:schemaRefs>
    <ds:schemaRef ds:uri="http://schemas.openxmlformats.org/officeDocument/2006/bibliography"/>
  </ds:schemaRefs>
</ds:datastoreItem>
</file>

<file path=customXml/itemProps2.xml><?xml version="1.0" encoding="utf-8"?>
<ds:datastoreItem xmlns:ds="http://schemas.openxmlformats.org/officeDocument/2006/customXml" ds:itemID="{6A5723A9-56A6-47D9-9F3B-BB28FB5F1650}">
  <ds:schemaRefs>
    <ds:schemaRef ds:uri="http://schemas.openxmlformats.org/package/2006/metadata/core-properties"/>
    <ds:schemaRef ds:uri="http://schemas.microsoft.com/office/2006/metadata/properties"/>
    <ds:schemaRef ds:uri="9812d7a0-4f9a-402c-b7a1-cdc5723cb6d9"/>
    <ds:schemaRef ds:uri="http://purl.org/dc/dcmitype/"/>
    <ds:schemaRef ds:uri="http://schemas.microsoft.com/office/infopath/2007/PartnerControls"/>
    <ds:schemaRef ds:uri="http://schemas.microsoft.com/sharepoint/v3"/>
    <ds:schemaRef ds:uri="http://www.w3.org/XML/1998/namespace"/>
    <ds:schemaRef ds:uri="http://schemas.microsoft.com/office/2006/documentManagement/types"/>
    <ds:schemaRef ds:uri="75b3c9cb-7bd1-479f-9268-fc007916113e"/>
    <ds:schemaRef ds:uri="http://purl.org/dc/terms/"/>
    <ds:schemaRef ds:uri="http://purl.org/dc/elements/1.1/"/>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5429EEA4-B0EA-454E-A1E4-9611C7D4E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3c9cb-7bd1-479f-9268-fc007916113e"/>
    <ds:schemaRef ds:uri="9812d7a0-4f9a-402c-b7a1-cdc5723cb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9</Pages>
  <Words>3818</Words>
  <Characters>27177</Characters>
  <Application>Microsoft Office Word</Application>
  <DocSecurity>4</DocSecurity>
  <Lines>226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2021-11-18T13:56:00Z</dcterms:created>
  <dcterms:modified xsi:type="dcterms:W3CDTF">2021-11-18T13:56:00Z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0x0101000AD81C974303B748913C43E1198B0C05</vt:lpwstr>
  </property>
</Properties>
</file>