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AA93FB" w14:textId="77777777" w:rsidR="00D2071C" w:rsidRPr="007E07A0" w:rsidRDefault="00D2071C" w:rsidP="00D2071C">
      <w:pPr>
        <w:jc w:val="center"/>
        <w:rPr>
          <w:rFonts w:ascii="Arial" w:hAnsi="Arial" w:cs="Arial"/>
          <w:b/>
          <w:bCs/>
          <w:noProof/>
          <w:color w:val="FF0000"/>
          <w:sz w:val="24"/>
          <w:szCs w:val="24"/>
        </w:rPr>
      </w:pPr>
    </w:p>
    <w:p w14:paraId="24A4515E" w14:textId="2E7BB922" w:rsidR="00896CC8" w:rsidRPr="00D2071C" w:rsidRDefault="00D2071C" w:rsidP="00D2071C">
      <w:pPr>
        <w:jc w:val="center"/>
        <w:rPr>
          <w:rFonts w:ascii="Arial" w:hAnsi="Arial" w:cs="Arial"/>
          <w:b/>
          <w:bCs/>
          <w:color w:val="FF0000"/>
          <w:sz w:val="36"/>
          <w:szCs w:val="36"/>
        </w:rPr>
      </w:pPr>
      <w:r w:rsidRPr="00D2071C">
        <w:rPr>
          <w:rFonts w:ascii="Arial" w:hAnsi="Arial" w:cs="Arial"/>
          <w:b/>
          <w:bCs/>
          <w:noProof/>
          <w:color w:val="FF0000"/>
          <w:sz w:val="36"/>
          <w:szCs w:val="36"/>
        </w:rPr>
        <w:t>INSERT YOUR FIRM’S LOGO/BRANDING HERE</w:t>
      </w:r>
    </w:p>
    <w:tbl>
      <w:tblPr>
        <w:tblW w:w="5377" w:type="pct"/>
        <w:tblInd w:w="-450" w:type="dxa"/>
        <w:tblCellMar>
          <w:left w:w="115" w:type="dxa"/>
          <w:right w:w="115" w:type="dxa"/>
        </w:tblCellMar>
        <w:tblLook w:val="0600" w:firstRow="0" w:lastRow="0" w:firstColumn="0" w:lastColumn="0" w:noHBand="1" w:noVBand="1"/>
        <w:tblDescription w:val="Layout table page 1"/>
      </w:tblPr>
      <w:tblGrid>
        <w:gridCol w:w="8100"/>
        <w:gridCol w:w="3514"/>
      </w:tblGrid>
      <w:tr w:rsidR="0097566F" w:rsidRPr="00AB5A4F" w14:paraId="78E89C10" w14:textId="77777777" w:rsidTr="003C7AC1">
        <w:trPr>
          <w:trHeight w:val="576"/>
        </w:trPr>
        <w:tc>
          <w:tcPr>
            <w:tcW w:w="5000" w:type="pct"/>
            <w:gridSpan w:val="2"/>
            <w:shd w:val="clear" w:color="auto" w:fill="005BBB"/>
            <w:vAlign w:val="center"/>
          </w:tcPr>
          <w:p w14:paraId="65BC03BF" w14:textId="585F3675" w:rsidR="0097566F" w:rsidRPr="00CF01CB" w:rsidRDefault="00FC103C" w:rsidP="003C7AC1">
            <w:pPr>
              <w:pStyle w:val="Heading1"/>
              <w:spacing w:before="0" w:after="0"/>
              <w:rPr>
                <w:rFonts w:ascii="Arial" w:hAnsi="Arial" w:cs="Arial"/>
                <w:caps w:val="0"/>
                <w:color w:val="FFFFFF" w:themeColor="background1"/>
                <w:sz w:val="36"/>
                <w:szCs w:val="36"/>
              </w:rPr>
            </w:pPr>
            <w:r>
              <w:rPr>
                <w:rFonts w:ascii="Arial" w:hAnsi="Arial" w:cs="Arial"/>
                <w:bCs w:val="0"/>
                <w:caps w:val="0"/>
                <w:color w:val="FFFFFF" w:themeColor="background1"/>
                <w:sz w:val="32"/>
                <w:szCs w:val="32"/>
              </w:rPr>
              <w:t xml:space="preserve">Stay in the know: </w:t>
            </w:r>
            <w:r w:rsidR="003448CE" w:rsidRPr="003448CE">
              <w:rPr>
                <w:rFonts w:ascii="Arial" w:hAnsi="Arial" w:cs="Arial"/>
                <w:bCs w:val="0"/>
                <w:caps w:val="0"/>
                <w:color w:val="FFFFFF" w:themeColor="background1"/>
                <w:sz w:val="32"/>
                <w:szCs w:val="32"/>
              </w:rPr>
              <w:t>COVID-19</w:t>
            </w:r>
            <w:r>
              <w:rPr>
                <w:rFonts w:ascii="Arial" w:hAnsi="Arial" w:cs="Arial"/>
                <w:bCs w:val="0"/>
                <w:caps w:val="0"/>
                <w:color w:val="FFFFFF" w:themeColor="background1"/>
                <w:sz w:val="32"/>
                <w:szCs w:val="32"/>
              </w:rPr>
              <w:t xml:space="preserve"> </w:t>
            </w:r>
          </w:p>
        </w:tc>
      </w:tr>
      <w:tr w:rsidR="0097566F" w:rsidRPr="00AB5A4F" w14:paraId="43A3F723" w14:textId="77777777" w:rsidTr="003C7AC1">
        <w:trPr>
          <w:trHeight w:val="70"/>
        </w:trPr>
        <w:tc>
          <w:tcPr>
            <w:tcW w:w="5000" w:type="pct"/>
            <w:gridSpan w:val="2"/>
            <w:shd w:val="clear" w:color="auto" w:fill="auto"/>
          </w:tcPr>
          <w:p w14:paraId="0EB7FE50" w14:textId="77777777" w:rsidR="0097566F" w:rsidRPr="000709BE" w:rsidRDefault="0097566F" w:rsidP="003C7AC1">
            <w:pPr>
              <w:pStyle w:val="Heading1"/>
              <w:spacing w:before="0" w:after="0"/>
              <w:jc w:val="both"/>
              <w:rPr>
                <w:color w:val="FFFFFF" w:themeColor="background1"/>
                <w:sz w:val="6"/>
                <w:shd w:val="clear" w:color="auto" w:fill="7030A0"/>
              </w:rPr>
            </w:pPr>
          </w:p>
        </w:tc>
      </w:tr>
      <w:tr w:rsidR="0097566F" w:rsidRPr="00616EA8" w14:paraId="3A064296" w14:textId="77777777" w:rsidTr="004007E4">
        <w:trPr>
          <w:trHeight w:val="12012"/>
        </w:trPr>
        <w:tc>
          <w:tcPr>
            <w:tcW w:w="3487" w:type="pct"/>
            <w:tcBorders>
              <w:right w:val="single" w:sz="12" w:space="0" w:color="005BBB"/>
            </w:tcBorders>
            <w:tcMar>
              <w:right w:w="216" w:type="dxa"/>
            </w:tcMar>
          </w:tcPr>
          <w:p w14:paraId="091D7C34" w14:textId="38C43333" w:rsidR="0097566F" w:rsidRPr="004007E4" w:rsidRDefault="003448CE" w:rsidP="004007E4">
            <w:pPr>
              <w:spacing w:after="120"/>
              <w:rPr>
                <w:rFonts w:ascii="Arial" w:hAnsi="Arial" w:cs="Arial"/>
                <w:b/>
                <w:color w:val="005BBB"/>
              </w:rPr>
            </w:pPr>
            <w:bookmarkStart w:id="0" w:name="_Hlk39812651"/>
            <w:r w:rsidRPr="004007E4">
              <w:rPr>
                <w:rFonts w:ascii="Arial" w:hAnsi="Arial" w:cs="Arial"/>
                <w:b/>
                <w:color w:val="005BBB"/>
              </w:rPr>
              <w:t>P</w:t>
            </w:r>
            <w:r w:rsidR="004B79B6">
              <w:rPr>
                <w:rFonts w:ascii="Arial" w:hAnsi="Arial" w:cs="Arial"/>
                <w:b/>
                <w:color w:val="005BBB"/>
              </w:rPr>
              <w:t>RB supports relief for firms</w:t>
            </w:r>
            <w:r w:rsidR="009B72C4">
              <w:rPr>
                <w:rFonts w:ascii="Arial" w:hAnsi="Arial" w:cs="Arial"/>
                <w:b/>
                <w:color w:val="005BBB"/>
              </w:rPr>
              <w:t xml:space="preserve"> </w:t>
            </w:r>
          </w:p>
          <w:p w14:paraId="4CEFB469" w14:textId="296022AC" w:rsidR="00F80C57" w:rsidRPr="00203006" w:rsidRDefault="00F80C57" w:rsidP="004007E4">
            <w:pPr>
              <w:spacing w:after="120"/>
              <w:ind w:right="230"/>
              <w:rPr>
                <w:rFonts w:ascii="Arial" w:hAnsi="Arial" w:cs="Arial"/>
              </w:rPr>
            </w:pPr>
            <w:r w:rsidRPr="00203006">
              <w:rPr>
                <w:rFonts w:ascii="Arial" w:hAnsi="Arial" w:cs="Arial"/>
              </w:rPr>
              <w:t>In response to the COVID-19 pandemic, the Peer Review Board</w:t>
            </w:r>
            <w:r w:rsidR="009B72C4">
              <w:rPr>
                <w:rFonts w:ascii="Arial" w:hAnsi="Arial" w:cs="Arial"/>
              </w:rPr>
              <w:t xml:space="preserve"> (PRB) </w:t>
            </w:r>
            <w:r w:rsidR="001C7EBB" w:rsidRPr="00203006">
              <w:rPr>
                <w:rFonts w:ascii="Arial" w:hAnsi="Arial" w:cs="Arial"/>
              </w:rPr>
              <w:t>has encouraged administering entities to be lenient with granting extensions of affected peer reviews during this unprecedented time. If your firm needs additional time for your review to be scheduled and performed, you can request an extension in PRIMA.</w:t>
            </w:r>
            <w:r w:rsidR="00126B07" w:rsidRPr="00203006">
              <w:rPr>
                <w:rFonts w:ascii="Arial" w:hAnsi="Arial" w:cs="Arial"/>
              </w:rPr>
              <w:t xml:space="preserve"> Instructions on how to request an extension can be found in </w:t>
            </w:r>
            <w:hyperlink r:id="rId11" w:history="1">
              <w:r w:rsidR="00126B07" w:rsidRPr="00203006">
                <w:rPr>
                  <w:rStyle w:val="Hyperlink"/>
                  <w:rFonts w:ascii="Arial" w:hAnsi="Arial" w:cs="Arial"/>
                </w:rPr>
                <w:t>PRIMA Help</w:t>
              </w:r>
            </w:hyperlink>
            <w:r w:rsidR="00126B07" w:rsidRPr="00203006">
              <w:rPr>
                <w:rFonts w:ascii="Arial" w:hAnsi="Arial" w:cs="Arial"/>
              </w:rPr>
              <w:t>.</w:t>
            </w:r>
            <w:r w:rsidR="001C7EBB" w:rsidRPr="00203006">
              <w:rPr>
                <w:rFonts w:ascii="Arial" w:hAnsi="Arial" w:cs="Arial"/>
              </w:rPr>
              <w:t xml:space="preserve"> </w:t>
            </w:r>
          </w:p>
          <w:bookmarkEnd w:id="0"/>
          <w:p w14:paraId="1CAB77F2" w14:textId="1D4BAC80" w:rsidR="008D6EEE" w:rsidRPr="00203006" w:rsidRDefault="001C7EBB" w:rsidP="004007E4">
            <w:pPr>
              <w:spacing w:after="120"/>
              <w:ind w:right="230"/>
              <w:rPr>
                <w:rFonts w:ascii="Arial" w:hAnsi="Arial" w:cs="Arial"/>
              </w:rPr>
            </w:pPr>
            <w:r w:rsidRPr="00203006">
              <w:rPr>
                <w:rFonts w:ascii="Arial" w:hAnsi="Arial" w:cs="Arial"/>
              </w:rPr>
              <w:t>P</w:t>
            </w:r>
            <w:r w:rsidR="008D6EEE" w:rsidRPr="00203006">
              <w:rPr>
                <w:rFonts w:ascii="Arial" w:hAnsi="Arial" w:cs="Arial"/>
              </w:rPr>
              <w:t xml:space="preserve">lease contact us as soon as you can so we can plan to perform your review at a mutually convenient time. Deferring the due date, though providing welcome relief now, </w:t>
            </w:r>
            <w:r w:rsidRPr="00203006">
              <w:rPr>
                <w:rFonts w:ascii="Arial" w:hAnsi="Arial" w:cs="Arial"/>
              </w:rPr>
              <w:t xml:space="preserve">may result in additional time to process and complete your review. </w:t>
            </w:r>
          </w:p>
          <w:p w14:paraId="188593CF" w14:textId="6343EBB8" w:rsidR="008D6EEE" w:rsidRPr="00203006" w:rsidRDefault="008D6EEE" w:rsidP="004007E4">
            <w:pPr>
              <w:spacing w:after="120"/>
              <w:ind w:right="230"/>
              <w:rPr>
                <w:rFonts w:ascii="Arial" w:hAnsi="Arial" w:cs="Arial"/>
              </w:rPr>
            </w:pPr>
            <w:r w:rsidRPr="00203006">
              <w:rPr>
                <w:rFonts w:ascii="Arial" w:hAnsi="Arial" w:cs="Arial"/>
              </w:rPr>
              <w:t xml:space="preserve">The </w:t>
            </w:r>
            <w:r w:rsidR="001C7EBB" w:rsidRPr="00203006">
              <w:rPr>
                <w:rFonts w:ascii="Arial" w:hAnsi="Arial" w:cs="Arial"/>
              </w:rPr>
              <w:t>P</w:t>
            </w:r>
            <w:r w:rsidR="009B72C4">
              <w:rPr>
                <w:rFonts w:ascii="Arial" w:hAnsi="Arial" w:cs="Arial"/>
              </w:rPr>
              <w:t>RB</w:t>
            </w:r>
            <w:r w:rsidR="001C7EBB" w:rsidRPr="00203006">
              <w:rPr>
                <w:rFonts w:ascii="Arial" w:hAnsi="Arial" w:cs="Arial"/>
              </w:rPr>
              <w:t xml:space="preserve"> continues to monitor the impacts of the pandemic and ha</w:t>
            </w:r>
            <w:r w:rsidR="003709AB">
              <w:rPr>
                <w:rFonts w:ascii="Arial" w:hAnsi="Arial" w:cs="Arial"/>
              </w:rPr>
              <w:t>s</w:t>
            </w:r>
            <w:r w:rsidR="001C7EBB" w:rsidRPr="00203006">
              <w:rPr>
                <w:rFonts w:ascii="Arial" w:hAnsi="Arial" w:cs="Arial"/>
              </w:rPr>
              <w:t xml:space="preserve"> continued to take measures to ease the burden on firms, including </w:t>
            </w:r>
            <w:r w:rsidRPr="00203006">
              <w:rPr>
                <w:rFonts w:ascii="Arial" w:hAnsi="Arial" w:cs="Arial"/>
              </w:rPr>
              <w:t xml:space="preserve">allowances for </w:t>
            </w:r>
            <w:r w:rsidR="00C56900" w:rsidRPr="00203006">
              <w:rPr>
                <w:rFonts w:ascii="Arial" w:hAnsi="Arial" w:cs="Arial"/>
              </w:rPr>
              <w:t>remote</w:t>
            </w:r>
            <w:r w:rsidRPr="00203006">
              <w:rPr>
                <w:rFonts w:ascii="Arial" w:hAnsi="Arial" w:cs="Arial"/>
              </w:rPr>
              <w:t xml:space="preserve"> system reviews, temporary extensions</w:t>
            </w:r>
            <w:r w:rsidR="00C56900" w:rsidRPr="00203006">
              <w:rPr>
                <w:rFonts w:ascii="Arial" w:hAnsi="Arial" w:cs="Arial"/>
              </w:rPr>
              <w:t xml:space="preserve"> and</w:t>
            </w:r>
            <w:r w:rsidRPr="00203006">
              <w:rPr>
                <w:rFonts w:ascii="Arial" w:hAnsi="Arial" w:cs="Arial"/>
              </w:rPr>
              <w:t xml:space="preserve"> temporary changes to reviewer and firm fair procedures</w:t>
            </w:r>
            <w:r w:rsidR="00C56900" w:rsidRPr="00203006">
              <w:rPr>
                <w:rFonts w:ascii="Arial" w:hAnsi="Arial" w:cs="Arial"/>
              </w:rPr>
              <w:t xml:space="preserve"> </w:t>
            </w:r>
            <w:r w:rsidR="001C7EBB" w:rsidRPr="00203006">
              <w:rPr>
                <w:rFonts w:ascii="Arial" w:hAnsi="Arial" w:cs="Arial"/>
              </w:rPr>
              <w:t xml:space="preserve">as </w:t>
            </w:r>
            <w:r w:rsidR="00656D41" w:rsidRPr="00203006">
              <w:rPr>
                <w:rFonts w:ascii="Arial" w:hAnsi="Arial" w:cs="Arial"/>
              </w:rPr>
              <w:t xml:space="preserve">approved </w:t>
            </w:r>
            <w:r w:rsidR="001C7EBB" w:rsidRPr="00203006">
              <w:rPr>
                <w:rFonts w:ascii="Arial" w:hAnsi="Arial" w:cs="Arial"/>
              </w:rPr>
              <w:t>earlier in 2020</w:t>
            </w:r>
            <w:r w:rsidRPr="00203006">
              <w:rPr>
                <w:rFonts w:ascii="Arial" w:hAnsi="Arial" w:cs="Arial"/>
              </w:rPr>
              <w:t>.</w:t>
            </w:r>
            <w:r w:rsidR="00C56900" w:rsidRPr="00203006">
              <w:rPr>
                <w:rFonts w:ascii="Arial" w:hAnsi="Arial" w:cs="Arial"/>
              </w:rPr>
              <w:t xml:space="preserve"> </w:t>
            </w:r>
            <w:r w:rsidR="0060304C" w:rsidRPr="00203006">
              <w:rPr>
                <w:rFonts w:ascii="Arial" w:hAnsi="Arial" w:cs="Arial"/>
              </w:rPr>
              <w:t>M</w:t>
            </w:r>
            <w:r w:rsidR="001C7EBB" w:rsidRPr="00203006">
              <w:rPr>
                <w:rFonts w:ascii="Arial" w:hAnsi="Arial" w:cs="Arial"/>
              </w:rPr>
              <w:t xml:space="preserve">ore </w:t>
            </w:r>
            <w:r w:rsidR="0060304C" w:rsidRPr="00203006">
              <w:rPr>
                <w:rFonts w:ascii="Arial" w:hAnsi="Arial" w:cs="Arial"/>
              </w:rPr>
              <w:t>information on recent activities of the P</w:t>
            </w:r>
            <w:r w:rsidR="009B72C4">
              <w:rPr>
                <w:rFonts w:ascii="Arial" w:hAnsi="Arial" w:cs="Arial"/>
              </w:rPr>
              <w:t>RB</w:t>
            </w:r>
            <w:r w:rsidR="0060304C" w:rsidRPr="00203006">
              <w:rPr>
                <w:rFonts w:ascii="Arial" w:hAnsi="Arial" w:cs="Arial"/>
              </w:rPr>
              <w:t xml:space="preserve"> can be found in the </w:t>
            </w:r>
            <w:hyperlink r:id="rId12" w:history="1">
              <w:r w:rsidR="0060304C" w:rsidRPr="00203006">
                <w:rPr>
                  <w:rStyle w:val="Hyperlink"/>
                  <w:rFonts w:ascii="Arial" w:hAnsi="Arial" w:cs="Arial"/>
                </w:rPr>
                <w:t>August 2020 Reviewer Alert</w:t>
              </w:r>
            </w:hyperlink>
            <w:r w:rsidR="0060304C" w:rsidRPr="00203006">
              <w:rPr>
                <w:rFonts w:ascii="Arial" w:hAnsi="Arial" w:cs="Arial"/>
              </w:rPr>
              <w:t xml:space="preserve"> and in the </w:t>
            </w:r>
            <w:hyperlink r:id="rId13" w:history="1">
              <w:r w:rsidR="0060304C" w:rsidRPr="00203006">
                <w:rPr>
                  <w:rStyle w:val="Hyperlink"/>
                  <w:rFonts w:ascii="Arial" w:hAnsi="Arial" w:cs="Arial"/>
                </w:rPr>
                <w:t>Open Session highlights from September 2, 2020</w:t>
              </w:r>
            </w:hyperlink>
            <w:r w:rsidR="0060304C" w:rsidRPr="00203006">
              <w:rPr>
                <w:rFonts w:ascii="Arial" w:hAnsi="Arial" w:cs="Arial"/>
              </w:rPr>
              <w:t>.</w:t>
            </w:r>
          </w:p>
          <w:p w14:paraId="06A0F978" w14:textId="0F7BD453" w:rsidR="00203006" w:rsidRPr="004007E4" w:rsidRDefault="009F7B4E" w:rsidP="004007E4">
            <w:pPr>
              <w:spacing w:after="120"/>
              <w:rPr>
                <w:rFonts w:ascii="Arial" w:hAnsi="Arial" w:cs="Arial"/>
                <w:b/>
                <w:color w:val="005BBB"/>
              </w:rPr>
            </w:pPr>
            <w:bookmarkStart w:id="1" w:name="_Hlk55401491"/>
            <w:r w:rsidRPr="004007E4">
              <w:rPr>
                <w:rFonts w:ascii="Arial" w:hAnsi="Arial" w:cs="Arial"/>
                <w:b/>
                <w:color w:val="005BBB"/>
              </w:rPr>
              <w:t>(U</w:t>
            </w:r>
            <w:r w:rsidR="004B79B6">
              <w:rPr>
                <w:rFonts w:ascii="Arial" w:hAnsi="Arial" w:cs="Arial"/>
                <w:b/>
                <w:color w:val="005BBB"/>
              </w:rPr>
              <w:t>nexpectedly</w:t>
            </w:r>
            <w:r w:rsidRPr="004007E4">
              <w:rPr>
                <w:rFonts w:ascii="Arial" w:hAnsi="Arial" w:cs="Arial"/>
                <w:b/>
                <w:color w:val="005BBB"/>
              </w:rPr>
              <w:t xml:space="preserve">) </w:t>
            </w:r>
            <w:r w:rsidR="004B79B6">
              <w:rPr>
                <w:rFonts w:ascii="Arial" w:hAnsi="Arial" w:cs="Arial"/>
                <w:b/>
                <w:color w:val="005BBB"/>
              </w:rPr>
              <w:t>growing your practice with single audits</w:t>
            </w:r>
            <w:r w:rsidR="00203006" w:rsidRPr="004007E4">
              <w:rPr>
                <w:rFonts w:ascii="Arial" w:hAnsi="Arial" w:cs="Arial"/>
                <w:b/>
                <w:color w:val="005BBB"/>
              </w:rPr>
              <w:t>?</w:t>
            </w:r>
          </w:p>
          <w:p w14:paraId="6260E1F7" w14:textId="0E348CBB" w:rsidR="00203006" w:rsidRPr="00203006" w:rsidRDefault="00203006" w:rsidP="004007E4">
            <w:pPr>
              <w:spacing w:after="120"/>
              <w:rPr>
                <w:rFonts w:ascii="Arial" w:hAnsi="Arial" w:cs="Arial"/>
                <w:bCs/>
              </w:rPr>
            </w:pPr>
            <w:r>
              <w:rPr>
                <w:rFonts w:ascii="Arial" w:hAnsi="Arial" w:cs="Arial"/>
                <w:bCs/>
              </w:rPr>
              <w:t xml:space="preserve">Approximately </w:t>
            </w:r>
            <w:r w:rsidRPr="00203006">
              <w:rPr>
                <w:rFonts w:ascii="Arial" w:hAnsi="Arial" w:cs="Arial"/>
                <w:bCs/>
              </w:rPr>
              <w:t>4</w:t>
            </w:r>
            <w:r>
              <w:rPr>
                <w:rFonts w:ascii="Arial" w:hAnsi="Arial" w:cs="Arial"/>
                <w:bCs/>
              </w:rPr>
              <w:t>,</w:t>
            </w:r>
            <w:r w:rsidRPr="00203006">
              <w:rPr>
                <w:rFonts w:ascii="Arial" w:hAnsi="Arial" w:cs="Arial"/>
                <w:bCs/>
              </w:rPr>
              <w:t xml:space="preserve">500 new single audits are expected to result </w:t>
            </w:r>
            <w:r>
              <w:rPr>
                <w:rFonts w:ascii="Arial" w:hAnsi="Arial" w:cs="Arial"/>
                <w:bCs/>
              </w:rPr>
              <w:t xml:space="preserve">from </w:t>
            </w:r>
            <w:r w:rsidRPr="00203006">
              <w:rPr>
                <w:rFonts w:ascii="Arial" w:hAnsi="Arial" w:cs="Arial"/>
                <w:bCs/>
              </w:rPr>
              <w:t xml:space="preserve">federal funding </w:t>
            </w:r>
            <w:r>
              <w:rPr>
                <w:rFonts w:ascii="Arial" w:hAnsi="Arial" w:cs="Arial"/>
                <w:bCs/>
              </w:rPr>
              <w:t>response</w:t>
            </w:r>
            <w:r w:rsidR="001C6871">
              <w:rPr>
                <w:rFonts w:ascii="Arial" w:hAnsi="Arial" w:cs="Arial"/>
                <w:bCs/>
              </w:rPr>
              <w:t>s</w:t>
            </w:r>
            <w:r>
              <w:rPr>
                <w:rFonts w:ascii="Arial" w:hAnsi="Arial" w:cs="Arial"/>
                <w:bCs/>
              </w:rPr>
              <w:t xml:space="preserve"> to </w:t>
            </w:r>
            <w:r w:rsidRPr="00203006">
              <w:rPr>
                <w:rFonts w:ascii="Arial" w:hAnsi="Arial" w:cs="Arial"/>
                <w:bCs/>
              </w:rPr>
              <w:t>COVID-19</w:t>
            </w:r>
            <w:r w:rsidR="002234E0">
              <w:rPr>
                <w:rFonts w:ascii="Arial" w:hAnsi="Arial" w:cs="Arial"/>
                <w:bCs/>
              </w:rPr>
              <w:t>,</w:t>
            </w:r>
            <w:r>
              <w:rPr>
                <w:rFonts w:ascii="Arial" w:hAnsi="Arial" w:cs="Arial"/>
                <w:bCs/>
              </w:rPr>
              <w:t xml:space="preserve"> m</w:t>
            </w:r>
            <w:r w:rsidRPr="00203006">
              <w:rPr>
                <w:rFonts w:ascii="Arial" w:hAnsi="Arial" w:cs="Arial"/>
                <w:bCs/>
              </w:rPr>
              <w:t>any for local governments and healthcare</w:t>
            </w:r>
            <w:r w:rsidR="001C6871">
              <w:rPr>
                <w:rFonts w:ascii="Arial" w:hAnsi="Arial" w:cs="Arial"/>
                <w:bCs/>
              </w:rPr>
              <w:t xml:space="preserve"> entities</w:t>
            </w:r>
            <w:r w:rsidRPr="00203006">
              <w:rPr>
                <w:rFonts w:ascii="Arial" w:hAnsi="Arial" w:cs="Arial"/>
                <w:bCs/>
              </w:rPr>
              <w:t xml:space="preserve">. </w:t>
            </w:r>
            <w:r w:rsidR="009F7B4E" w:rsidRPr="009F7B4E">
              <w:rPr>
                <w:rFonts w:ascii="Arial" w:hAnsi="Arial" w:cs="Arial"/>
                <w:bCs/>
              </w:rPr>
              <w:t>Some of your clients may not even be aware that the funds they received will subject them to a single audit. These</w:t>
            </w:r>
            <w:r w:rsidR="009F7B4E">
              <w:rPr>
                <w:rFonts w:ascii="Arial" w:hAnsi="Arial" w:cs="Arial"/>
                <w:bCs/>
              </w:rPr>
              <w:t xml:space="preserve"> </w:t>
            </w:r>
            <w:r w:rsidRPr="00203006">
              <w:rPr>
                <w:rFonts w:ascii="Arial" w:hAnsi="Arial" w:cs="Arial"/>
                <w:bCs/>
              </w:rPr>
              <w:t xml:space="preserve">audits </w:t>
            </w:r>
            <w:r w:rsidR="001C6871">
              <w:rPr>
                <w:rFonts w:ascii="Arial" w:hAnsi="Arial" w:cs="Arial"/>
                <w:bCs/>
              </w:rPr>
              <w:t xml:space="preserve">are challenging </w:t>
            </w:r>
            <w:r w:rsidRPr="00203006">
              <w:rPr>
                <w:rFonts w:ascii="Arial" w:hAnsi="Arial" w:cs="Arial"/>
                <w:bCs/>
              </w:rPr>
              <w:t>and require in</w:t>
            </w:r>
            <w:r w:rsidR="001C6871">
              <w:rPr>
                <w:rFonts w:ascii="Arial" w:hAnsi="Arial" w:cs="Arial"/>
                <w:bCs/>
              </w:rPr>
              <w:t>-</w:t>
            </w:r>
            <w:r w:rsidRPr="00203006">
              <w:rPr>
                <w:rFonts w:ascii="Arial" w:hAnsi="Arial" w:cs="Arial"/>
                <w:bCs/>
              </w:rPr>
              <w:t xml:space="preserve">depth </w:t>
            </w:r>
            <w:r w:rsidR="001C6871">
              <w:rPr>
                <w:rFonts w:ascii="Arial" w:hAnsi="Arial" w:cs="Arial"/>
                <w:bCs/>
              </w:rPr>
              <w:t>expertise, so be</w:t>
            </w:r>
            <w:r w:rsidRPr="00203006">
              <w:rPr>
                <w:rFonts w:ascii="Arial" w:hAnsi="Arial" w:cs="Arial"/>
                <w:bCs/>
              </w:rPr>
              <w:t xml:space="preserve"> mindful when talking </w:t>
            </w:r>
            <w:r w:rsidR="001C6871">
              <w:rPr>
                <w:rFonts w:ascii="Arial" w:hAnsi="Arial" w:cs="Arial"/>
                <w:bCs/>
              </w:rPr>
              <w:t xml:space="preserve">with </w:t>
            </w:r>
            <w:r w:rsidRPr="00203006">
              <w:rPr>
                <w:rFonts w:ascii="Arial" w:hAnsi="Arial" w:cs="Arial"/>
                <w:bCs/>
              </w:rPr>
              <w:t>existing or new clients! The Government</w:t>
            </w:r>
            <w:r w:rsidR="001C6871">
              <w:rPr>
                <w:rFonts w:ascii="Arial" w:hAnsi="Arial" w:cs="Arial"/>
                <w:bCs/>
              </w:rPr>
              <w:t>al</w:t>
            </w:r>
            <w:r w:rsidRPr="00203006">
              <w:rPr>
                <w:rFonts w:ascii="Arial" w:hAnsi="Arial" w:cs="Arial"/>
                <w:bCs/>
              </w:rPr>
              <w:t xml:space="preserve"> Audit Quality Center offers </w:t>
            </w:r>
            <w:r w:rsidR="001C6871" w:rsidRPr="00203006">
              <w:rPr>
                <w:rFonts w:ascii="Arial" w:hAnsi="Arial" w:cs="Arial"/>
                <w:bCs/>
              </w:rPr>
              <w:t>several</w:t>
            </w:r>
            <w:r w:rsidRPr="00203006">
              <w:rPr>
                <w:rFonts w:ascii="Arial" w:hAnsi="Arial" w:cs="Arial"/>
                <w:bCs/>
              </w:rPr>
              <w:t xml:space="preserve"> free </w:t>
            </w:r>
            <w:r w:rsidR="00A75572">
              <w:rPr>
                <w:rFonts w:ascii="Arial" w:hAnsi="Arial" w:cs="Arial"/>
                <w:bCs/>
              </w:rPr>
              <w:t>and</w:t>
            </w:r>
            <w:r w:rsidRPr="00203006">
              <w:rPr>
                <w:rFonts w:ascii="Arial" w:hAnsi="Arial" w:cs="Arial"/>
                <w:bCs/>
              </w:rPr>
              <w:t xml:space="preserve"> member</w:t>
            </w:r>
            <w:r w:rsidR="001C6871">
              <w:rPr>
                <w:rFonts w:ascii="Arial" w:hAnsi="Arial" w:cs="Arial"/>
                <w:bCs/>
              </w:rPr>
              <w:t>-</w:t>
            </w:r>
            <w:r w:rsidRPr="00203006">
              <w:rPr>
                <w:rFonts w:ascii="Arial" w:hAnsi="Arial" w:cs="Arial"/>
                <w:bCs/>
              </w:rPr>
              <w:t xml:space="preserve">only </w:t>
            </w:r>
            <w:hyperlink r:id="rId14" w:anchor="COVID" w:history="1">
              <w:r w:rsidRPr="000C19E6">
                <w:rPr>
                  <w:rStyle w:val="Hyperlink"/>
                  <w:rFonts w:ascii="Arial" w:hAnsi="Arial" w:cs="Arial"/>
                  <w:bCs/>
                </w:rPr>
                <w:t>resources</w:t>
              </w:r>
            </w:hyperlink>
            <w:r w:rsidRPr="00203006">
              <w:rPr>
                <w:rFonts w:ascii="Arial" w:hAnsi="Arial" w:cs="Arial"/>
                <w:bCs/>
              </w:rPr>
              <w:t xml:space="preserve"> to assist </w:t>
            </w:r>
            <w:r w:rsidR="001C6871">
              <w:rPr>
                <w:rFonts w:ascii="Arial" w:hAnsi="Arial" w:cs="Arial"/>
                <w:bCs/>
              </w:rPr>
              <w:t>you with</w:t>
            </w:r>
            <w:r w:rsidRPr="00203006">
              <w:rPr>
                <w:rFonts w:ascii="Arial" w:hAnsi="Arial" w:cs="Arial"/>
                <w:bCs/>
              </w:rPr>
              <w:t xml:space="preserve"> </w:t>
            </w:r>
            <w:r w:rsidR="001C6871">
              <w:rPr>
                <w:rFonts w:ascii="Arial" w:hAnsi="Arial" w:cs="Arial"/>
                <w:bCs/>
              </w:rPr>
              <w:t>performing</w:t>
            </w:r>
            <w:r w:rsidRPr="00203006">
              <w:rPr>
                <w:rFonts w:ascii="Arial" w:hAnsi="Arial" w:cs="Arial"/>
                <w:bCs/>
              </w:rPr>
              <w:t xml:space="preserve"> single audit</w:t>
            </w:r>
            <w:r w:rsidR="001C6871">
              <w:rPr>
                <w:rFonts w:ascii="Arial" w:hAnsi="Arial" w:cs="Arial"/>
                <w:bCs/>
              </w:rPr>
              <w:t>s</w:t>
            </w:r>
            <w:r w:rsidRPr="00203006">
              <w:rPr>
                <w:rFonts w:ascii="Arial" w:hAnsi="Arial" w:cs="Arial"/>
                <w:bCs/>
              </w:rPr>
              <w:t>.</w:t>
            </w:r>
            <w:r w:rsidR="001C6871">
              <w:rPr>
                <w:rFonts w:ascii="Arial" w:hAnsi="Arial" w:cs="Arial"/>
                <w:bCs/>
              </w:rPr>
              <w:t xml:space="preserve"> Read more from </w:t>
            </w:r>
            <w:hyperlink r:id="rId15" w:history="1">
              <w:r w:rsidRPr="000C19E6">
                <w:rPr>
                  <w:rStyle w:val="Hyperlink"/>
                  <w:rFonts w:ascii="Arial" w:hAnsi="Arial" w:cs="Arial"/>
                  <w:bCs/>
                </w:rPr>
                <w:t>th</w:t>
              </w:r>
              <w:r w:rsidR="001C6871" w:rsidRPr="000C19E6">
                <w:rPr>
                  <w:rStyle w:val="Hyperlink"/>
                  <w:rFonts w:ascii="Arial" w:hAnsi="Arial" w:cs="Arial"/>
                  <w:bCs/>
                </w:rPr>
                <w:t>is</w:t>
              </w:r>
              <w:r w:rsidRPr="000C19E6">
                <w:rPr>
                  <w:rStyle w:val="Hyperlink"/>
                  <w:rFonts w:ascii="Arial" w:hAnsi="Arial" w:cs="Arial"/>
                  <w:bCs/>
                </w:rPr>
                <w:t xml:space="preserve"> GAO audit alert</w:t>
              </w:r>
            </w:hyperlink>
            <w:r w:rsidRPr="00203006">
              <w:rPr>
                <w:rFonts w:ascii="Arial" w:hAnsi="Arial" w:cs="Arial"/>
                <w:bCs/>
              </w:rPr>
              <w:t xml:space="preserve"> </w:t>
            </w:r>
            <w:r w:rsidR="001C6871">
              <w:rPr>
                <w:rFonts w:ascii="Arial" w:hAnsi="Arial" w:cs="Arial"/>
                <w:bCs/>
              </w:rPr>
              <w:t xml:space="preserve">with </w:t>
            </w:r>
            <w:r w:rsidRPr="00203006">
              <w:rPr>
                <w:rFonts w:ascii="Arial" w:hAnsi="Arial" w:cs="Arial"/>
                <w:bCs/>
              </w:rPr>
              <w:t xml:space="preserve">reminders and considerations </w:t>
            </w:r>
            <w:r w:rsidR="000C19E6">
              <w:rPr>
                <w:rFonts w:ascii="Arial" w:hAnsi="Arial" w:cs="Arial"/>
                <w:bCs/>
              </w:rPr>
              <w:t>for</w:t>
            </w:r>
            <w:r w:rsidRPr="00203006">
              <w:rPr>
                <w:rFonts w:ascii="Arial" w:hAnsi="Arial" w:cs="Arial"/>
                <w:bCs/>
              </w:rPr>
              <w:t xml:space="preserve"> new programs </w:t>
            </w:r>
            <w:r w:rsidR="001C6871">
              <w:rPr>
                <w:rFonts w:ascii="Arial" w:hAnsi="Arial" w:cs="Arial"/>
                <w:bCs/>
              </w:rPr>
              <w:t xml:space="preserve">resulting from </w:t>
            </w:r>
            <w:r w:rsidRPr="00203006">
              <w:rPr>
                <w:rFonts w:ascii="Arial" w:hAnsi="Arial" w:cs="Arial"/>
                <w:bCs/>
              </w:rPr>
              <w:t>the pandemic.</w:t>
            </w:r>
          </w:p>
          <w:bookmarkEnd w:id="1"/>
          <w:p w14:paraId="03D1153D" w14:textId="5F05DEFE" w:rsidR="00F0791E" w:rsidRPr="00203006" w:rsidRDefault="00F0791E" w:rsidP="004007E4">
            <w:pPr>
              <w:spacing w:after="120"/>
              <w:rPr>
                <w:rFonts w:ascii="Arial" w:hAnsi="Arial" w:cs="Arial"/>
                <w:b/>
                <w:color w:val="005BBB"/>
              </w:rPr>
            </w:pPr>
            <w:r w:rsidRPr="00203006">
              <w:rPr>
                <w:rFonts w:ascii="Arial" w:hAnsi="Arial" w:cs="Arial"/>
                <w:b/>
                <w:color w:val="005BBB"/>
              </w:rPr>
              <w:t xml:space="preserve">4 </w:t>
            </w:r>
            <w:r w:rsidR="00203006">
              <w:rPr>
                <w:rFonts w:ascii="Arial" w:hAnsi="Arial" w:cs="Arial"/>
                <w:b/>
                <w:color w:val="005BBB"/>
              </w:rPr>
              <w:t>K</w:t>
            </w:r>
            <w:r w:rsidR="004B79B6">
              <w:rPr>
                <w:rFonts w:ascii="Arial" w:hAnsi="Arial" w:cs="Arial"/>
                <w:b/>
                <w:color w:val="005BBB"/>
              </w:rPr>
              <w:t>ey</w:t>
            </w:r>
            <w:r w:rsidR="00203006">
              <w:rPr>
                <w:rFonts w:ascii="Arial" w:hAnsi="Arial" w:cs="Arial"/>
                <w:b/>
                <w:color w:val="005BBB"/>
              </w:rPr>
              <w:t xml:space="preserve"> COVID-19 </w:t>
            </w:r>
            <w:r w:rsidR="004B79B6">
              <w:rPr>
                <w:rFonts w:ascii="Arial" w:hAnsi="Arial" w:cs="Arial"/>
                <w:b/>
                <w:color w:val="005BBB"/>
              </w:rPr>
              <w:t xml:space="preserve">audit risks for </w:t>
            </w:r>
            <w:proofErr w:type="gramStart"/>
            <w:r w:rsidR="004B79B6">
              <w:rPr>
                <w:rFonts w:ascii="Arial" w:hAnsi="Arial" w:cs="Arial"/>
                <w:b/>
                <w:color w:val="005BBB"/>
              </w:rPr>
              <w:t>2020 year</w:t>
            </w:r>
            <w:proofErr w:type="gramEnd"/>
            <w:r w:rsidR="004B79B6">
              <w:rPr>
                <w:rFonts w:ascii="Arial" w:hAnsi="Arial" w:cs="Arial"/>
                <w:b/>
                <w:color w:val="005BBB"/>
              </w:rPr>
              <w:t xml:space="preserve"> ends</w:t>
            </w:r>
          </w:p>
          <w:p w14:paraId="1299BA31" w14:textId="63991AE0" w:rsidR="00F0791E" w:rsidRPr="00203006" w:rsidRDefault="00F0791E" w:rsidP="004007E4">
            <w:pPr>
              <w:spacing w:after="120"/>
              <w:rPr>
                <w:rFonts w:ascii="Arial" w:hAnsi="Arial" w:cs="Arial"/>
              </w:rPr>
            </w:pPr>
            <w:r w:rsidRPr="00203006">
              <w:rPr>
                <w:rFonts w:ascii="Arial" w:hAnsi="Arial" w:cs="Arial"/>
              </w:rPr>
              <w:t>Many auditors have begun to turn their sights to their next group of audits: clients with 2020 fiscal year ends. The World Health Organization declared a public health emergency on Jan. 30, 2020, meaning many of these clients will have been affected by the COVID-19 pandemic during the period under audit.</w:t>
            </w:r>
          </w:p>
          <w:p w14:paraId="4BBE887A" w14:textId="610EBFFE" w:rsidR="00F0791E" w:rsidRPr="00203006" w:rsidRDefault="00F0791E" w:rsidP="004007E4">
            <w:pPr>
              <w:spacing w:after="120"/>
              <w:rPr>
                <w:rFonts w:ascii="Arial" w:hAnsi="Arial" w:cs="Arial"/>
              </w:rPr>
            </w:pPr>
            <w:r w:rsidRPr="00203006">
              <w:rPr>
                <w:rFonts w:ascii="Arial" w:hAnsi="Arial" w:cs="Arial"/>
              </w:rPr>
              <w:t xml:space="preserve">Auditing these clients will carry unique challenges, and certain areas may present heightened risks of material misstatement for the audit. Here are four such areas </w:t>
            </w:r>
            <w:r w:rsidR="009F7B4E">
              <w:rPr>
                <w:rFonts w:ascii="Arial" w:hAnsi="Arial" w:cs="Arial"/>
              </w:rPr>
              <w:t xml:space="preserve">to </w:t>
            </w:r>
            <w:r w:rsidRPr="00203006">
              <w:rPr>
                <w:rFonts w:ascii="Arial" w:hAnsi="Arial" w:cs="Arial"/>
              </w:rPr>
              <w:t xml:space="preserve">consider as </w:t>
            </w:r>
            <w:r w:rsidR="009F7B4E">
              <w:rPr>
                <w:rFonts w:ascii="Arial" w:hAnsi="Arial" w:cs="Arial"/>
              </w:rPr>
              <w:t xml:space="preserve">you </w:t>
            </w:r>
            <w:r w:rsidRPr="00203006">
              <w:rPr>
                <w:rFonts w:ascii="Arial" w:hAnsi="Arial" w:cs="Arial"/>
              </w:rPr>
              <w:t xml:space="preserve">prepare for </w:t>
            </w:r>
            <w:r w:rsidR="009F7B4E">
              <w:rPr>
                <w:rFonts w:ascii="Arial" w:hAnsi="Arial" w:cs="Arial"/>
              </w:rPr>
              <w:t xml:space="preserve">your </w:t>
            </w:r>
            <w:r w:rsidRPr="00203006">
              <w:rPr>
                <w:rFonts w:ascii="Arial" w:hAnsi="Arial" w:cs="Arial"/>
              </w:rPr>
              <w:t>next audits of commercial entities</w:t>
            </w:r>
            <w:r w:rsidR="00903C8C" w:rsidRPr="00203006">
              <w:rPr>
                <w:rFonts w:ascii="Arial" w:hAnsi="Arial" w:cs="Arial"/>
              </w:rPr>
              <w:t xml:space="preserve">. Read </w:t>
            </w:r>
            <w:r w:rsidR="00491F87" w:rsidRPr="00203006">
              <w:rPr>
                <w:rFonts w:ascii="Arial" w:hAnsi="Arial" w:cs="Arial"/>
              </w:rPr>
              <w:t xml:space="preserve">the full story </w:t>
            </w:r>
            <w:r w:rsidR="00903C8C" w:rsidRPr="00203006">
              <w:rPr>
                <w:rFonts w:ascii="Arial" w:hAnsi="Arial" w:cs="Arial"/>
              </w:rPr>
              <w:t xml:space="preserve">from </w:t>
            </w:r>
            <w:r w:rsidRPr="00203006">
              <w:rPr>
                <w:rFonts w:ascii="Arial" w:hAnsi="Arial" w:cs="Arial"/>
              </w:rPr>
              <w:t xml:space="preserve">the </w:t>
            </w:r>
            <w:hyperlink r:id="rId16" w:history="1">
              <w:r w:rsidRPr="00203006">
                <w:rPr>
                  <w:rStyle w:val="Hyperlink"/>
                  <w:rFonts w:ascii="Arial" w:hAnsi="Arial" w:cs="Arial"/>
                  <w:i/>
                  <w:iCs/>
                </w:rPr>
                <w:t>Journal of Accountancy</w:t>
              </w:r>
            </w:hyperlink>
            <w:r w:rsidRPr="00203006">
              <w:rPr>
                <w:rFonts w:ascii="Arial" w:hAnsi="Arial" w:cs="Arial"/>
              </w:rPr>
              <w:t>.</w:t>
            </w:r>
          </w:p>
          <w:p w14:paraId="3B0E9B56" w14:textId="15CA4417" w:rsidR="00F0791E" w:rsidRPr="000C19E6" w:rsidRDefault="00F0791E" w:rsidP="00A75572">
            <w:pPr>
              <w:pStyle w:val="ListParagraph"/>
              <w:numPr>
                <w:ilvl w:val="0"/>
                <w:numId w:val="18"/>
              </w:numPr>
              <w:spacing w:after="60"/>
              <w:rPr>
                <w:rFonts w:ascii="Arial" w:hAnsi="Arial" w:cs="Arial"/>
                <w:i/>
                <w:iCs/>
                <w:sz w:val="22"/>
                <w:szCs w:val="22"/>
              </w:rPr>
            </w:pPr>
            <w:r w:rsidRPr="000C19E6">
              <w:rPr>
                <w:rFonts w:ascii="Arial" w:hAnsi="Arial" w:cs="Arial"/>
                <w:i/>
                <w:iCs/>
                <w:sz w:val="22"/>
                <w:szCs w:val="22"/>
              </w:rPr>
              <w:t>Internal control</w:t>
            </w:r>
          </w:p>
          <w:p w14:paraId="55CC8864" w14:textId="5430F73C" w:rsidR="00F0791E" w:rsidRPr="000C19E6" w:rsidRDefault="00F0791E" w:rsidP="00A75572">
            <w:pPr>
              <w:pStyle w:val="ListParagraph"/>
              <w:numPr>
                <w:ilvl w:val="0"/>
                <w:numId w:val="18"/>
              </w:numPr>
              <w:spacing w:after="60"/>
              <w:rPr>
                <w:rFonts w:ascii="Arial" w:hAnsi="Arial" w:cs="Arial"/>
                <w:i/>
                <w:iCs/>
                <w:sz w:val="22"/>
                <w:szCs w:val="22"/>
              </w:rPr>
            </w:pPr>
            <w:r w:rsidRPr="000C19E6">
              <w:rPr>
                <w:rFonts w:ascii="Arial" w:hAnsi="Arial" w:cs="Arial"/>
                <w:i/>
                <w:iCs/>
                <w:sz w:val="22"/>
                <w:szCs w:val="22"/>
              </w:rPr>
              <w:t>Fraud risk</w:t>
            </w:r>
          </w:p>
          <w:p w14:paraId="5FACEF53" w14:textId="04F9651B" w:rsidR="00F0791E" w:rsidRPr="000C19E6" w:rsidRDefault="00F0791E" w:rsidP="00A75572">
            <w:pPr>
              <w:pStyle w:val="ListParagraph"/>
              <w:numPr>
                <w:ilvl w:val="0"/>
                <w:numId w:val="18"/>
              </w:numPr>
              <w:spacing w:after="60"/>
              <w:rPr>
                <w:rFonts w:ascii="Arial" w:hAnsi="Arial" w:cs="Arial"/>
                <w:i/>
                <w:iCs/>
                <w:sz w:val="22"/>
                <w:szCs w:val="22"/>
              </w:rPr>
            </w:pPr>
            <w:r w:rsidRPr="000C19E6">
              <w:rPr>
                <w:rFonts w:ascii="Arial" w:hAnsi="Arial" w:cs="Arial"/>
                <w:i/>
                <w:iCs/>
                <w:sz w:val="22"/>
                <w:szCs w:val="22"/>
              </w:rPr>
              <w:t>Noncompliance with laws and regulations</w:t>
            </w:r>
          </w:p>
          <w:p w14:paraId="6AEBC878" w14:textId="146AC86C" w:rsidR="00F0791E" w:rsidRPr="0060304C" w:rsidRDefault="004B79B6" w:rsidP="00A75572">
            <w:pPr>
              <w:pStyle w:val="ListParagraph"/>
              <w:numPr>
                <w:ilvl w:val="0"/>
                <w:numId w:val="18"/>
              </w:numPr>
              <w:spacing w:after="60"/>
              <w:rPr>
                <w:rFonts w:ascii="Arial" w:hAnsi="Arial" w:cs="Arial"/>
              </w:rPr>
            </w:pPr>
            <w:r w:rsidRPr="00FF548C">
              <w:rPr>
                <w:rFonts w:ascii="Arial" w:hAnsi="Arial" w:cs="Arial"/>
                <w:noProof/>
              </w:rPr>
              <w:drawing>
                <wp:anchor distT="0" distB="0" distL="114300" distR="114300" simplePos="0" relativeHeight="251659264" behindDoc="1" locked="0" layoutInCell="1" allowOverlap="1" wp14:anchorId="0C6065CF" wp14:editId="358A0E62">
                  <wp:simplePos x="0" y="0"/>
                  <wp:positionH relativeFrom="column">
                    <wp:posOffset>3175</wp:posOffset>
                  </wp:positionH>
                  <wp:positionV relativeFrom="paragraph">
                    <wp:posOffset>201930</wp:posOffset>
                  </wp:positionV>
                  <wp:extent cx="4997450" cy="170307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997450" cy="1703070"/>
                          </a:xfrm>
                          <a:prstGeom prst="rect">
                            <a:avLst/>
                          </a:prstGeom>
                        </pic:spPr>
                      </pic:pic>
                    </a:graphicData>
                  </a:graphic>
                  <wp14:sizeRelH relativeFrom="margin">
                    <wp14:pctWidth>0</wp14:pctWidth>
                  </wp14:sizeRelH>
                  <wp14:sizeRelV relativeFrom="margin">
                    <wp14:pctHeight>0</wp14:pctHeight>
                  </wp14:sizeRelV>
                </wp:anchor>
              </w:drawing>
            </w:r>
            <w:r w:rsidR="0060304C" w:rsidRPr="000C19E6">
              <w:rPr>
                <w:rFonts w:ascii="Arial" w:hAnsi="Arial" w:cs="Arial"/>
                <w:i/>
                <w:iCs/>
                <w:sz w:val="22"/>
                <w:szCs w:val="22"/>
              </w:rPr>
              <w:t>Auditing accounting estimates</w:t>
            </w:r>
          </w:p>
        </w:tc>
        <w:tc>
          <w:tcPr>
            <w:tcW w:w="1513" w:type="pct"/>
            <w:tcBorders>
              <w:top w:val="single" w:sz="12" w:space="0" w:color="005BBB"/>
              <w:left w:val="single" w:sz="12" w:space="0" w:color="005BBB"/>
              <w:bottom w:val="single" w:sz="12" w:space="0" w:color="005BBB"/>
              <w:right w:val="single" w:sz="12" w:space="0" w:color="005BBB"/>
            </w:tcBorders>
            <w:shd w:val="clear" w:color="auto" w:fill="F2F2F2" w:themeFill="background1" w:themeFillShade="F2"/>
            <w:tcMar>
              <w:left w:w="216" w:type="dxa"/>
              <w:right w:w="216" w:type="dxa"/>
            </w:tcMar>
          </w:tcPr>
          <w:p w14:paraId="303C22E9" w14:textId="77777777" w:rsidR="00A96FC1" w:rsidRPr="004007E4" w:rsidRDefault="00A96FC1" w:rsidP="004007E4">
            <w:pPr>
              <w:spacing w:before="100" w:beforeAutospacing="1" w:after="100" w:afterAutospacing="1" w:line="259" w:lineRule="auto"/>
              <w:rPr>
                <w:rFonts w:ascii="Arial" w:hAnsi="Arial" w:cs="Arial"/>
                <w:b/>
                <w:color w:val="005BBB"/>
              </w:rPr>
            </w:pPr>
            <w:bookmarkStart w:id="2" w:name="_Hlk55401772"/>
            <w:r w:rsidRPr="004007E4">
              <w:rPr>
                <w:rFonts w:ascii="Arial" w:hAnsi="Arial" w:cs="Arial"/>
                <w:b/>
                <w:color w:val="005BBB"/>
              </w:rPr>
              <w:t>Tips for Auditing Revenue Recognition</w:t>
            </w:r>
          </w:p>
          <w:p w14:paraId="0E141A4A" w14:textId="3BD41B66" w:rsidR="00A96FC1" w:rsidRPr="00A96FC1" w:rsidRDefault="00A96FC1" w:rsidP="004007E4">
            <w:pPr>
              <w:spacing w:before="100" w:beforeAutospacing="1" w:after="100" w:afterAutospacing="1"/>
              <w:rPr>
                <w:rFonts w:ascii="Arial" w:hAnsi="Arial" w:cs="Arial"/>
                <w:i/>
                <w:iCs/>
              </w:rPr>
            </w:pPr>
            <w:r>
              <w:rPr>
                <w:rFonts w:ascii="Arial" w:hAnsi="Arial" w:cs="Arial"/>
                <w:i/>
                <w:iCs/>
              </w:rPr>
              <w:t xml:space="preserve">With </w:t>
            </w:r>
            <w:r w:rsidRPr="00A96FC1">
              <w:rPr>
                <w:rFonts w:ascii="Arial" w:hAnsi="Arial" w:cs="Arial"/>
                <w:i/>
                <w:iCs/>
              </w:rPr>
              <w:t>numerous new judgments, estimates, and disclosures that require close auditor attention</w:t>
            </w:r>
            <w:r>
              <w:rPr>
                <w:rFonts w:ascii="Arial" w:hAnsi="Arial" w:cs="Arial"/>
                <w:i/>
                <w:iCs/>
              </w:rPr>
              <w:t xml:space="preserve">, </w:t>
            </w:r>
            <w:hyperlink r:id="rId18" w:history="1">
              <w:r w:rsidRPr="00A96FC1">
                <w:rPr>
                  <w:rStyle w:val="Hyperlink"/>
                  <w:rFonts w:ascii="Arial" w:hAnsi="Arial" w:cs="Arial"/>
                  <w:i/>
                  <w:iCs/>
                </w:rPr>
                <w:t>these tips</w:t>
              </w:r>
            </w:hyperlink>
            <w:r w:rsidRPr="00A96FC1">
              <w:rPr>
                <w:rFonts w:ascii="Arial" w:hAnsi="Arial" w:cs="Arial"/>
                <w:i/>
                <w:iCs/>
              </w:rPr>
              <w:t xml:space="preserve"> can help </w:t>
            </w:r>
            <w:r w:rsidR="009F7B4E">
              <w:rPr>
                <w:rFonts w:ascii="Arial" w:hAnsi="Arial" w:cs="Arial"/>
                <w:i/>
                <w:iCs/>
              </w:rPr>
              <w:t>you</w:t>
            </w:r>
            <w:r w:rsidRPr="00A96FC1">
              <w:rPr>
                <w:rFonts w:ascii="Arial" w:hAnsi="Arial" w:cs="Arial"/>
                <w:i/>
                <w:iCs/>
              </w:rPr>
              <w:t xml:space="preserve"> succeed amid all this difficulty.</w:t>
            </w:r>
          </w:p>
          <w:bookmarkEnd w:id="2"/>
          <w:p w14:paraId="12AA37CD" w14:textId="63AFEAFA" w:rsidR="00903C8C" w:rsidRPr="004007E4" w:rsidRDefault="00903C8C" w:rsidP="004007E4">
            <w:pPr>
              <w:spacing w:before="100" w:beforeAutospacing="1" w:after="100" w:afterAutospacing="1" w:line="259" w:lineRule="auto"/>
              <w:rPr>
                <w:rFonts w:ascii="Arial" w:hAnsi="Arial" w:cs="Arial"/>
                <w:b/>
                <w:color w:val="005BBB"/>
              </w:rPr>
            </w:pPr>
            <w:r w:rsidRPr="004007E4">
              <w:rPr>
                <w:rFonts w:ascii="Arial" w:hAnsi="Arial" w:cs="Arial"/>
                <w:b/>
                <w:color w:val="005BBB"/>
              </w:rPr>
              <w:t>Handling nondisclosure compilations amid the pandemic</w:t>
            </w:r>
          </w:p>
          <w:p w14:paraId="75BABA21" w14:textId="3FB6E502" w:rsidR="00903C8C" w:rsidRPr="002234E0" w:rsidRDefault="00903C8C" w:rsidP="004007E4">
            <w:pPr>
              <w:spacing w:before="100" w:beforeAutospacing="1" w:after="100" w:afterAutospacing="1" w:line="259" w:lineRule="auto"/>
              <w:rPr>
                <w:rFonts w:ascii="Arial" w:hAnsi="Arial" w:cs="Arial"/>
                <w:i/>
                <w:iCs/>
              </w:rPr>
            </w:pPr>
            <w:r w:rsidRPr="002234E0">
              <w:rPr>
                <w:rFonts w:ascii="Arial" w:hAnsi="Arial" w:cs="Arial"/>
                <w:i/>
                <w:iCs/>
              </w:rPr>
              <w:t>One of the many challenging issues in public accounting during the coronavirus pandemic is the question of how practitioners should handle compilations of financial statements in which clients have elected to omit substantially all disclosures. Pandemic-related issues related to cash flow, liquidity, subsequent events and going concern create a danger that financial statements that omit disclosures about such issues may mislead users</w:t>
            </w:r>
            <w:r w:rsidR="00136AD5" w:rsidRPr="002234E0">
              <w:rPr>
                <w:rFonts w:ascii="Arial" w:hAnsi="Arial" w:cs="Arial"/>
                <w:i/>
                <w:iCs/>
              </w:rPr>
              <w:t>.</w:t>
            </w:r>
            <w:r w:rsidRPr="002234E0">
              <w:rPr>
                <w:rFonts w:ascii="Arial" w:hAnsi="Arial" w:cs="Arial"/>
                <w:i/>
                <w:iCs/>
              </w:rPr>
              <w:t xml:space="preserve"> </w:t>
            </w:r>
            <w:hyperlink r:id="rId19" w:history="1">
              <w:r w:rsidRPr="002234E0">
                <w:rPr>
                  <w:rStyle w:val="Hyperlink"/>
                  <w:rFonts w:ascii="Arial" w:hAnsi="Arial" w:cs="Arial"/>
                  <w:i/>
                  <w:iCs/>
                </w:rPr>
                <w:t>Read the full story from the Journal of Accountancy</w:t>
              </w:r>
            </w:hyperlink>
            <w:r w:rsidRPr="002234E0">
              <w:rPr>
                <w:rFonts w:ascii="Arial" w:hAnsi="Arial" w:cs="Arial"/>
                <w:i/>
                <w:iCs/>
              </w:rPr>
              <w:t xml:space="preserve">. </w:t>
            </w:r>
          </w:p>
          <w:p w14:paraId="09D2FC2F" w14:textId="5D0D5C78" w:rsidR="00903C8C" w:rsidRPr="004007E4" w:rsidRDefault="00903C8C" w:rsidP="004007E4">
            <w:pPr>
              <w:spacing w:before="100" w:beforeAutospacing="1" w:after="100" w:afterAutospacing="1" w:line="259" w:lineRule="auto"/>
              <w:rPr>
                <w:rFonts w:ascii="Arial" w:hAnsi="Arial" w:cs="Arial"/>
                <w:b/>
                <w:color w:val="005BBB"/>
              </w:rPr>
            </w:pPr>
            <w:r w:rsidRPr="004007E4">
              <w:rPr>
                <w:rFonts w:ascii="Arial" w:hAnsi="Arial" w:cs="Arial"/>
                <w:b/>
                <w:color w:val="005BBB"/>
              </w:rPr>
              <w:t>Are you ready to audit during the pandemic?</w:t>
            </w:r>
          </w:p>
          <w:p w14:paraId="43F8C765" w14:textId="1CC67BFD" w:rsidR="00136AD5" w:rsidRPr="00136AD5" w:rsidRDefault="00903C8C" w:rsidP="004007E4">
            <w:pPr>
              <w:spacing w:before="100" w:beforeAutospacing="1" w:after="100" w:afterAutospacing="1"/>
              <w:ind w:right="231"/>
              <w:rPr>
                <w:rFonts w:cs="Arial"/>
              </w:rPr>
            </w:pPr>
            <w:r w:rsidRPr="00903C8C">
              <w:rPr>
                <w:rFonts w:ascii="Arial" w:hAnsi="Arial" w:cs="Arial"/>
                <w:i/>
                <w:iCs/>
              </w:rPr>
              <w:t>CPAs fac</w:t>
            </w:r>
            <w:r w:rsidR="006E430B">
              <w:rPr>
                <w:rFonts w:ascii="Arial" w:hAnsi="Arial" w:cs="Arial"/>
                <w:i/>
                <w:iCs/>
              </w:rPr>
              <w:t>e</w:t>
            </w:r>
            <w:r w:rsidR="00242F1C">
              <w:rPr>
                <w:rFonts w:ascii="Arial" w:hAnsi="Arial" w:cs="Arial"/>
                <w:i/>
                <w:iCs/>
              </w:rPr>
              <w:t xml:space="preserve"> </w:t>
            </w:r>
            <w:r w:rsidRPr="00903C8C">
              <w:rPr>
                <w:rFonts w:ascii="Arial" w:hAnsi="Arial" w:cs="Arial"/>
                <w:i/>
                <w:iCs/>
              </w:rPr>
              <w:t xml:space="preserve">unprecedented challenges as they conduct audits during the coronavirus pandemic. Do you know how to perform a high-quality audit while navigating obstacles like performing remote audit procedures and evaluating going concern? </w:t>
            </w:r>
            <w:hyperlink r:id="rId20" w:history="1">
              <w:r w:rsidRPr="00903C8C">
                <w:rPr>
                  <w:rStyle w:val="Hyperlink"/>
                  <w:rFonts w:ascii="Arial" w:hAnsi="Arial" w:cs="Arial"/>
                  <w:i/>
                  <w:iCs/>
                </w:rPr>
                <w:t>Take this quiz to find out</w:t>
              </w:r>
            </w:hyperlink>
            <w:r w:rsidRPr="00903C8C">
              <w:rPr>
                <w:rFonts w:ascii="Arial" w:hAnsi="Arial" w:cs="Arial"/>
                <w:i/>
                <w:iCs/>
              </w:rPr>
              <w:t>.</w:t>
            </w:r>
            <w:r w:rsidR="00136AD5">
              <w:rPr>
                <w:rFonts w:cs="Arial"/>
              </w:rPr>
              <w:tab/>
            </w:r>
          </w:p>
        </w:tc>
      </w:tr>
    </w:tbl>
    <w:tbl>
      <w:tblPr>
        <w:tblpPr w:leftFromText="180" w:rightFromText="180" w:vertAnchor="text" w:horzAnchor="margin" w:tblpXSpec="center" w:tblpY="-118"/>
        <w:tblOverlap w:val="never"/>
        <w:tblW w:w="5324" w:type="pct"/>
        <w:tblBorders>
          <w:top w:val="single" w:sz="12" w:space="0" w:color="005BBB"/>
          <w:left w:val="single" w:sz="12" w:space="0" w:color="005BBB"/>
          <w:bottom w:val="single" w:sz="12" w:space="0" w:color="005BBB"/>
          <w:right w:val="single" w:sz="12" w:space="0" w:color="005BBB"/>
        </w:tblBorders>
        <w:tblCellMar>
          <w:left w:w="115" w:type="dxa"/>
          <w:right w:w="115" w:type="dxa"/>
        </w:tblCellMar>
        <w:tblLook w:val="0600" w:firstRow="0" w:lastRow="0" w:firstColumn="0" w:lastColumn="0" w:noHBand="1" w:noVBand="1"/>
        <w:tblDescription w:val="Layout table page 1"/>
      </w:tblPr>
      <w:tblGrid>
        <w:gridCol w:w="11468"/>
      </w:tblGrid>
      <w:tr w:rsidR="00A84A06" w:rsidRPr="005529FF" w14:paraId="0D2303EA" w14:textId="77777777" w:rsidTr="00651003">
        <w:trPr>
          <w:trHeight w:val="576"/>
        </w:trPr>
        <w:tc>
          <w:tcPr>
            <w:tcW w:w="5000" w:type="pct"/>
            <w:shd w:val="clear" w:color="auto" w:fill="005BBB"/>
            <w:tcMar>
              <w:right w:w="216" w:type="dxa"/>
            </w:tcMar>
            <w:vAlign w:val="bottom"/>
          </w:tcPr>
          <w:p w14:paraId="37C49F60" w14:textId="4B74C262" w:rsidR="00A84A06" w:rsidRPr="00651003" w:rsidRDefault="00651003" w:rsidP="00651003">
            <w:pPr>
              <w:rPr>
                <w:rFonts w:ascii="Arial" w:hAnsi="Arial" w:cs="Arial"/>
                <w:b/>
                <w:bCs/>
                <w:sz w:val="28"/>
                <w:szCs w:val="28"/>
              </w:rPr>
            </w:pPr>
            <w:r w:rsidRPr="00651003">
              <w:rPr>
                <w:rFonts w:ascii="Arial" w:hAnsi="Arial" w:cs="Arial"/>
                <w:b/>
                <w:bCs/>
                <w:color w:val="FFFFFF" w:themeColor="background1"/>
                <w:sz w:val="28"/>
                <w:szCs w:val="28"/>
              </w:rPr>
              <w:lastRenderedPageBreak/>
              <w:t>Resources from the AICPA’s Enhancing Audit Quality (EAQ)</w:t>
            </w:r>
            <w:r w:rsidRPr="00651003">
              <w:rPr>
                <w:b/>
                <w:bCs/>
                <w:color w:val="FFFFFF" w:themeColor="background1"/>
                <w:sz w:val="28"/>
                <w:szCs w:val="28"/>
              </w:rPr>
              <w:t xml:space="preserve"> </w:t>
            </w:r>
            <w:r w:rsidRPr="00651003">
              <w:rPr>
                <w:rFonts w:ascii="Arial" w:hAnsi="Arial" w:cs="Arial"/>
                <w:b/>
                <w:bCs/>
                <w:color w:val="FFFFFF" w:themeColor="background1"/>
                <w:sz w:val="28"/>
                <w:szCs w:val="28"/>
              </w:rPr>
              <w:t>Initiative</w:t>
            </w:r>
          </w:p>
        </w:tc>
      </w:tr>
      <w:tr w:rsidR="006F0B99" w:rsidRPr="005529FF" w14:paraId="7C8DB4EF" w14:textId="77777777" w:rsidTr="00A84A06">
        <w:trPr>
          <w:trHeight w:val="12902"/>
        </w:trPr>
        <w:tc>
          <w:tcPr>
            <w:tcW w:w="5000" w:type="pct"/>
            <w:shd w:val="clear" w:color="auto" w:fill="FFFFFF" w:themeFill="background1"/>
            <w:tcMar>
              <w:right w:w="216" w:type="dxa"/>
            </w:tcMar>
          </w:tcPr>
          <w:p w14:paraId="169456F4" w14:textId="77777777" w:rsidR="00A84A06" w:rsidRPr="004007E4" w:rsidRDefault="00A84A06" w:rsidP="00051AEE">
            <w:pPr>
              <w:spacing w:after="0"/>
              <w:rPr>
                <w:rFonts w:ascii="Arial" w:hAnsi="Arial" w:cs="Arial"/>
              </w:rPr>
            </w:pPr>
          </w:p>
          <w:p w14:paraId="5C1D35E0" w14:textId="317BD08B" w:rsidR="00534A0A" w:rsidRPr="004007E4" w:rsidRDefault="00534A0A" w:rsidP="00ED39F9">
            <w:pPr>
              <w:rPr>
                <w:rFonts w:ascii="Arial" w:hAnsi="Arial" w:cs="Arial"/>
              </w:rPr>
            </w:pPr>
            <w:r w:rsidRPr="004007E4">
              <w:rPr>
                <w:rFonts w:ascii="Arial" w:hAnsi="Arial" w:cs="Arial"/>
              </w:rPr>
              <w:t xml:space="preserve">Through the </w:t>
            </w:r>
            <w:hyperlink r:id="rId21" w:history="1">
              <w:r w:rsidRPr="004007E4">
                <w:rPr>
                  <w:rStyle w:val="Hyperlink"/>
                  <w:rFonts w:ascii="Arial" w:hAnsi="Arial" w:cs="Arial"/>
                </w:rPr>
                <w:t>Enhancing Audit Quality Initiative (EAQ)</w:t>
              </w:r>
            </w:hyperlink>
            <w:r w:rsidRPr="004007E4">
              <w:rPr>
                <w:rFonts w:ascii="Arial" w:hAnsi="Arial" w:cs="Arial"/>
              </w:rPr>
              <w:t xml:space="preserve">, the AICPA shares resources and education to help you avoid the most common audit quality issues. Check out </w:t>
            </w:r>
            <w:r w:rsidR="009B72C4">
              <w:rPr>
                <w:rFonts w:ascii="Arial" w:hAnsi="Arial" w:cs="Arial"/>
              </w:rPr>
              <w:t>their</w:t>
            </w:r>
            <w:r w:rsidRPr="004007E4">
              <w:rPr>
                <w:rFonts w:ascii="Arial" w:hAnsi="Arial" w:cs="Arial"/>
              </w:rPr>
              <w:t xml:space="preserve"> latest resources:</w:t>
            </w:r>
          </w:p>
          <w:p w14:paraId="7B0D0519" w14:textId="45189BC9" w:rsidR="006F0B99" w:rsidRPr="004007E4" w:rsidRDefault="006F0B99" w:rsidP="00ED39F9">
            <w:pPr>
              <w:rPr>
                <w:rFonts w:ascii="Arial" w:hAnsi="Arial" w:cs="Arial"/>
                <w:b/>
                <w:bCs/>
                <w:iCs/>
                <w:color w:val="005BBB"/>
              </w:rPr>
            </w:pPr>
            <w:r w:rsidRPr="004007E4">
              <w:rPr>
                <w:rFonts w:ascii="Arial" w:hAnsi="Arial" w:cs="Arial"/>
                <w:b/>
                <w:bCs/>
                <w:iCs/>
                <w:color w:val="005BBB"/>
              </w:rPr>
              <w:t>COVID-19 Audit Implications</w:t>
            </w:r>
          </w:p>
          <w:p w14:paraId="78E65234" w14:textId="1B499A86" w:rsidR="00534A0A" w:rsidRPr="004007E4" w:rsidRDefault="00534A0A" w:rsidP="00534A0A">
            <w:pPr>
              <w:rPr>
                <w:rFonts w:ascii="Arial" w:hAnsi="Arial" w:cs="Arial"/>
              </w:rPr>
            </w:pPr>
            <w:r w:rsidRPr="004007E4">
              <w:rPr>
                <w:rFonts w:ascii="Arial" w:hAnsi="Arial" w:cs="Arial"/>
              </w:rPr>
              <w:t xml:space="preserve">As auditors navigate the challenges presented by the COVID-19 pandemic, the AICPA is </w:t>
            </w:r>
            <w:r w:rsidR="009B72C4">
              <w:rPr>
                <w:rFonts w:ascii="Arial" w:hAnsi="Arial" w:cs="Arial"/>
              </w:rPr>
              <w:t>available</w:t>
            </w:r>
            <w:r w:rsidRPr="004007E4">
              <w:rPr>
                <w:rFonts w:ascii="Arial" w:hAnsi="Arial" w:cs="Arial"/>
              </w:rPr>
              <w:t xml:space="preserve"> to help. The A&amp;A resource center at </w:t>
            </w:r>
            <w:hyperlink r:id="rId22" w:history="1">
              <w:r w:rsidRPr="004007E4">
                <w:rPr>
                  <w:rStyle w:val="Hyperlink"/>
                  <w:rFonts w:ascii="Arial" w:hAnsi="Arial" w:cs="Arial"/>
                </w:rPr>
                <w:t>aicpa.org/</w:t>
              </w:r>
              <w:proofErr w:type="spellStart"/>
              <w:r w:rsidRPr="004007E4">
                <w:rPr>
                  <w:rStyle w:val="Hyperlink"/>
                  <w:rFonts w:ascii="Arial" w:hAnsi="Arial" w:cs="Arial"/>
                </w:rPr>
                <w:t>covidaudit</w:t>
              </w:r>
              <w:proofErr w:type="spellEnd"/>
            </w:hyperlink>
            <w:r w:rsidRPr="004007E4">
              <w:rPr>
                <w:rFonts w:ascii="Arial" w:hAnsi="Arial" w:cs="Arial"/>
              </w:rPr>
              <w:t xml:space="preserve"> is updated periodically to help you with your audit engagements that are impacted by the pandemic. Here are a couple of resources EAQ launched since April:</w:t>
            </w:r>
          </w:p>
          <w:p w14:paraId="36EC879B" w14:textId="3FB63FA0" w:rsidR="00534A0A" w:rsidRPr="004007E4" w:rsidRDefault="00F82E1D" w:rsidP="00534A0A">
            <w:pPr>
              <w:pStyle w:val="ListParagraph"/>
              <w:widowControl/>
              <w:numPr>
                <w:ilvl w:val="0"/>
                <w:numId w:val="16"/>
              </w:numPr>
              <w:autoSpaceDE/>
              <w:autoSpaceDN/>
              <w:adjustRightInd/>
              <w:spacing w:after="160" w:line="259" w:lineRule="auto"/>
              <w:contextualSpacing/>
              <w:rPr>
                <w:rFonts w:ascii="Arial" w:hAnsi="Arial" w:cs="Arial"/>
                <w:sz w:val="22"/>
                <w:szCs w:val="22"/>
              </w:rPr>
            </w:pPr>
            <w:hyperlink r:id="rId23" w:history="1">
              <w:r w:rsidR="00534A0A" w:rsidRPr="004007E4">
                <w:rPr>
                  <w:rStyle w:val="Hyperlink"/>
                  <w:rFonts w:ascii="Arial" w:hAnsi="Arial" w:cs="Arial"/>
                  <w:sz w:val="22"/>
                  <w:szCs w:val="22"/>
                </w:rPr>
                <w:t>COVID audit staff training presentation</w:t>
              </w:r>
            </w:hyperlink>
            <w:r w:rsidR="00534A0A" w:rsidRPr="004007E4">
              <w:rPr>
                <w:rFonts w:ascii="Arial" w:hAnsi="Arial" w:cs="Arial"/>
                <w:sz w:val="22"/>
                <w:szCs w:val="22"/>
              </w:rPr>
              <w:t xml:space="preserve"> </w:t>
            </w:r>
            <w:r w:rsidR="001863B2" w:rsidRPr="004007E4">
              <w:rPr>
                <w:rFonts w:ascii="Arial" w:hAnsi="Arial" w:cs="Arial"/>
                <w:sz w:val="22"/>
                <w:szCs w:val="22"/>
              </w:rPr>
              <w:t>–</w:t>
            </w:r>
            <w:r w:rsidR="00534A0A" w:rsidRPr="004007E4">
              <w:rPr>
                <w:rFonts w:ascii="Arial" w:hAnsi="Arial" w:cs="Arial"/>
                <w:sz w:val="22"/>
                <w:szCs w:val="22"/>
              </w:rPr>
              <w:t xml:space="preserve"> Covers the most common challenges and questions received by the AICPA’s A&amp;A hotline, including speaker notes drawing on insights from AICPA technical staff.</w:t>
            </w:r>
          </w:p>
          <w:p w14:paraId="2B1B22BF" w14:textId="77777777" w:rsidR="00534A0A" w:rsidRPr="004007E4" w:rsidRDefault="00F82E1D" w:rsidP="00534A0A">
            <w:pPr>
              <w:pStyle w:val="ListParagraph"/>
              <w:widowControl/>
              <w:numPr>
                <w:ilvl w:val="0"/>
                <w:numId w:val="16"/>
              </w:numPr>
              <w:autoSpaceDE/>
              <w:autoSpaceDN/>
              <w:adjustRightInd/>
              <w:spacing w:after="160" w:line="259" w:lineRule="auto"/>
              <w:contextualSpacing/>
              <w:rPr>
                <w:rFonts w:ascii="Arial" w:hAnsi="Arial" w:cs="Arial"/>
                <w:sz w:val="22"/>
                <w:szCs w:val="22"/>
              </w:rPr>
            </w:pPr>
            <w:hyperlink r:id="rId24" w:history="1">
              <w:r w:rsidR="00534A0A" w:rsidRPr="004007E4">
                <w:rPr>
                  <w:rStyle w:val="Hyperlink"/>
                  <w:rFonts w:ascii="Arial" w:hAnsi="Arial" w:cs="Arial"/>
                  <w:sz w:val="22"/>
                  <w:szCs w:val="22"/>
                </w:rPr>
                <w:t>Auditor’s report flowchart</w:t>
              </w:r>
            </w:hyperlink>
            <w:r w:rsidR="00534A0A" w:rsidRPr="004007E4">
              <w:rPr>
                <w:rFonts w:ascii="Arial" w:hAnsi="Arial" w:cs="Arial"/>
                <w:sz w:val="22"/>
                <w:szCs w:val="22"/>
              </w:rPr>
              <w:t xml:space="preserve"> – Assists practitioners with their decision-making process when determining the most appropriate auditor’s report to issue.</w:t>
            </w:r>
          </w:p>
          <w:p w14:paraId="4B10C045" w14:textId="4573BA47" w:rsidR="00534A0A" w:rsidRPr="004007E4" w:rsidRDefault="00F82E1D" w:rsidP="00534A0A">
            <w:pPr>
              <w:pStyle w:val="ListParagraph"/>
              <w:widowControl/>
              <w:numPr>
                <w:ilvl w:val="0"/>
                <w:numId w:val="16"/>
              </w:numPr>
              <w:autoSpaceDE/>
              <w:autoSpaceDN/>
              <w:adjustRightInd/>
              <w:spacing w:after="160" w:line="259" w:lineRule="auto"/>
              <w:contextualSpacing/>
              <w:rPr>
                <w:rFonts w:ascii="Arial" w:hAnsi="Arial" w:cs="Arial"/>
                <w:sz w:val="22"/>
                <w:szCs w:val="22"/>
              </w:rPr>
            </w:pPr>
            <w:hyperlink r:id="rId25" w:anchor="sthash.yTwURJWg.eUFP5Mxx.dpbs" w:history="1">
              <w:r w:rsidR="00534A0A" w:rsidRPr="004007E4">
                <w:rPr>
                  <w:rStyle w:val="Hyperlink"/>
                  <w:rFonts w:ascii="Arial" w:hAnsi="Arial" w:cs="Arial"/>
                  <w:sz w:val="22"/>
                  <w:szCs w:val="22"/>
                </w:rPr>
                <w:t>Key risks when auditing a not-for-profit during the pandemic</w:t>
              </w:r>
            </w:hyperlink>
            <w:r w:rsidR="00534A0A" w:rsidRPr="004007E4">
              <w:rPr>
                <w:rFonts w:ascii="Arial" w:hAnsi="Arial" w:cs="Arial"/>
                <w:sz w:val="22"/>
                <w:szCs w:val="22"/>
              </w:rPr>
              <w:t xml:space="preserve"> – Highlights considerations for auditors of not-for-profits impacted by the pandemic.</w:t>
            </w:r>
          </w:p>
          <w:p w14:paraId="03BE0CB7" w14:textId="77777777" w:rsidR="00534A0A" w:rsidRPr="004007E4" w:rsidRDefault="00534A0A" w:rsidP="00534A0A">
            <w:pPr>
              <w:pStyle w:val="ListParagraph"/>
              <w:widowControl/>
              <w:autoSpaceDE/>
              <w:autoSpaceDN/>
              <w:adjustRightInd/>
              <w:spacing w:after="160" w:line="259" w:lineRule="auto"/>
              <w:ind w:left="720"/>
              <w:contextualSpacing/>
              <w:rPr>
                <w:rFonts w:ascii="Arial" w:hAnsi="Arial" w:cs="Arial"/>
                <w:sz w:val="22"/>
                <w:szCs w:val="22"/>
              </w:rPr>
            </w:pPr>
          </w:p>
          <w:p w14:paraId="24F247F6" w14:textId="3AA98342" w:rsidR="00534A0A" w:rsidRPr="004007E4" w:rsidRDefault="00534A0A" w:rsidP="00534A0A">
            <w:pPr>
              <w:pStyle w:val="ListParagraph"/>
              <w:rPr>
                <w:rFonts w:ascii="Arial" w:hAnsi="Arial" w:cs="Arial"/>
                <w:sz w:val="22"/>
                <w:szCs w:val="22"/>
              </w:rPr>
            </w:pPr>
            <w:r w:rsidRPr="004007E4">
              <w:rPr>
                <w:rFonts w:ascii="Arial" w:hAnsi="Arial" w:cs="Arial"/>
                <w:sz w:val="22"/>
                <w:szCs w:val="22"/>
              </w:rPr>
              <w:t xml:space="preserve">For information about how COVID-19 may impact other areas of your practice, from tax and personal financial planning to forensic accounting, check out </w:t>
            </w:r>
            <w:hyperlink r:id="rId26" w:history="1">
              <w:r w:rsidRPr="004007E4">
                <w:rPr>
                  <w:rStyle w:val="Hyperlink"/>
                  <w:rFonts w:ascii="Arial" w:hAnsi="Arial" w:cs="Arial"/>
                  <w:sz w:val="22"/>
                  <w:szCs w:val="22"/>
                </w:rPr>
                <w:t>the AICPA Coronavirus Resource Center</w:t>
              </w:r>
            </w:hyperlink>
            <w:r w:rsidRPr="004007E4">
              <w:rPr>
                <w:rFonts w:ascii="Arial" w:hAnsi="Arial" w:cs="Arial"/>
                <w:sz w:val="22"/>
                <w:szCs w:val="22"/>
              </w:rPr>
              <w:t>.</w:t>
            </w:r>
          </w:p>
          <w:p w14:paraId="5FF88322" w14:textId="5BD87922" w:rsidR="006F0B99" w:rsidRPr="004007E4" w:rsidRDefault="006F0B99" w:rsidP="00ED39F9">
            <w:pPr>
              <w:rPr>
                <w:rFonts w:ascii="Arial" w:hAnsi="Arial" w:cs="Arial"/>
                <w:b/>
                <w:bCs/>
                <w:iCs/>
                <w:color w:val="005BBB"/>
                <w:highlight w:val="yellow"/>
              </w:rPr>
            </w:pPr>
            <w:r w:rsidRPr="004007E4">
              <w:rPr>
                <w:rFonts w:ascii="Arial" w:hAnsi="Arial" w:cs="Arial"/>
                <w:b/>
                <w:bCs/>
                <w:iCs/>
                <w:color w:val="005BBB"/>
              </w:rPr>
              <w:t>Auditing Revenue Recognition</w:t>
            </w:r>
            <w:r w:rsidR="00534A0A" w:rsidRPr="004007E4">
              <w:rPr>
                <w:rFonts w:ascii="Arial" w:hAnsi="Arial" w:cs="Arial"/>
                <w:b/>
                <w:bCs/>
                <w:iCs/>
                <w:color w:val="005BBB"/>
              </w:rPr>
              <w:t>: New Resources Available</w:t>
            </w:r>
          </w:p>
          <w:p w14:paraId="1AD487EF" w14:textId="77777777" w:rsidR="00534A0A" w:rsidRPr="004007E4" w:rsidRDefault="00534A0A" w:rsidP="00534A0A">
            <w:pPr>
              <w:rPr>
                <w:rFonts w:ascii="Arial" w:hAnsi="Arial" w:cs="Arial"/>
              </w:rPr>
            </w:pPr>
            <w:r w:rsidRPr="004007E4">
              <w:rPr>
                <w:rFonts w:ascii="Arial" w:hAnsi="Arial" w:cs="Arial"/>
              </w:rPr>
              <w:t xml:space="preserve">Do you have clients with revenue subject to the requirements of FASB’s ASC 606, Revenue from Contracts with Customers? The </w:t>
            </w:r>
            <w:hyperlink r:id="rId27" w:history="1">
              <w:r w:rsidRPr="004007E4">
                <w:rPr>
                  <w:rStyle w:val="Hyperlink"/>
                  <w:rFonts w:ascii="Arial" w:hAnsi="Arial" w:cs="Arial"/>
                </w:rPr>
                <w:t>AICPA’s revenue recognition toolkit</w:t>
              </w:r>
            </w:hyperlink>
            <w:r w:rsidRPr="004007E4">
              <w:rPr>
                <w:rFonts w:ascii="Arial" w:hAnsi="Arial" w:cs="Arial"/>
              </w:rPr>
              <w:t xml:space="preserve"> has updated resources to help you audit and maintain your independence when assisting attest clients with implementing FASB’s ASC 606. The EAQ team has developed an example of documentation for contracts, an internal inspection aid and a practice aid to help you consider management’s estimates within ASC 606.</w:t>
            </w:r>
          </w:p>
          <w:p w14:paraId="64B118E4" w14:textId="77777777" w:rsidR="00534A0A" w:rsidRPr="004007E4" w:rsidRDefault="00534A0A" w:rsidP="00534A0A">
            <w:pPr>
              <w:rPr>
                <w:rFonts w:ascii="Arial" w:hAnsi="Arial" w:cs="Arial"/>
                <w:b/>
                <w:bCs/>
                <w:iCs/>
                <w:color w:val="005BBB"/>
              </w:rPr>
            </w:pPr>
            <w:r w:rsidRPr="004007E4">
              <w:rPr>
                <w:rFonts w:ascii="Arial" w:hAnsi="Arial" w:cs="Arial"/>
                <w:b/>
                <w:bCs/>
                <w:iCs/>
                <w:color w:val="005BBB"/>
              </w:rPr>
              <w:t>Risk Assessment and Response</w:t>
            </w:r>
          </w:p>
          <w:p w14:paraId="7914D9F6" w14:textId="1DF400A5" w:rsidR="00534A0A" w:rsidRPr="004007E4" w:rsidRDefault="00534A0A" w:rsidP="00534A0A">
            <w:pPr>
              <w:rPr>
                <w:rFonts w:ascii="Arial" w:hAnsi="Arial" w:cs="Arial"/>
              </w:rPr>
            </w:pPr>
            <w:r w:rsidRPr="004007E4">
              <w:rPr>
                <w:rFonts w:ascii="Arial" w:hAnsi="Arial" w:cs="Arial"/>
              </w:rPr>
              <w:t xml:space="preserve">EAQ has launched a new </w:t>
            </w:r>
            <w:hyperlink r:id="rId28" w:history="1">
              <w:r w:rsidRPr="004007E4">
                <w:rPr>
                  <w:rStyle w:val="Hyperlink"/>
                  <w:rFonts w:ascii="Arial" w:hAnsi="Arial" w:cs="Arial"/>
                </w:rPr>
                <w:t>webcast</w:t>
              </w:r>
            </w:hyperlink>
            <w:r w:rsidRPr="004007E4">
              <w:rPr>
                <w:rFonts w:ascii="Arial" w:hAnsi="Arial" w:cs="Arial"/>
              </w:rPr>
              <w:t>, “Risk Assessment During the Recovery,” to highlight common misconceptions in practice with the risk assessment standards as well as considerations given the current COVID environment.</w:t>
            </w:r>
          </w:p>
          <w:p w14:paraId="7B6B1B3A" w14:textId="6F1D5EDC" w:rsidR="00534A0A" w:rsidRPr="004007E4" w:rsidRDefault="004B79B6" w:rsidP="00534A0A">
            <w:pPr>
              <w:rPr>
                <w:rFonts w:ascii="Arial" w:hAnsi="Arial" w:cs="Arial"/>
                <w:b/>
                <w:bCs/>
                <w:iCs/>
                <w:color w:val="005BBB"/>
              </w:rPr>
            </w:pPr>
            <w:r>
              <w:rPr>
                <w:noProof/>
              </w:rPr>
              <w:drawing>
                <wp:anchor distT="0" distB="0" distL="114300" distR="114300" simplePos="0" relativeHeight="251661312" behindDoc="1" locked="0" layoutInCell="1" allowOverlap="1" wp14:anchorId="702E8107" wp14:editId="22DA4A72">
                  <wp:simplePos x="0" y="0"/>
                  <wp:positionH relativeFrom="column">
                    <wp:posOffset>3974465</wp:posOffset>
                  </wp:positionH>
                  <wp:positionV relativeFrom="paragraph">
                    <wp:posOffset>-635</wp:posOffset>
                  </wp:positionV>
                  <wp:extent cx="2845435" cy="2790825"/>
                  <wp:effectExtent l="0" t="0" r="0" b="9525"/>
                  <wp:wrapTight wrapText="bothSides">
                    <wp:wrapPolygon edited="0">
                      <wp:start x="0" y="0"/>
                      <wp:lineTo x="0" y="21526"/>
                      <wp:lineTo x="21402" y="21526"/>
                      <wp:lineTo x="21402"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845435" cy="2790825"/>
                          </a:xfrm>
                          <a:prstGeom prst="rect">
                            <a:avLst/>
                          </a:prstGeom>
                          <a:noFill/>
                        </pic:spPr>
                      </pic:pic>
                    </a:graphicData>
                  </a:graphic>
                  <wp14:sizeRelH relativeFrom="page">
                    <wp14:pctWidth>0</wp14:pctWidth>
                  </wp14:sizeRelH>
                  <wp14:sizeRelV relativeFrom="page">
                    <wp14:pctHeight>0</wp14:pctHeight>
                  </wp14:sizeRelV>
                </wp:anchor>
              </w:drawing>
            </w:r>
            <w:r w:rsidR="00534A0A" w:rsidRPr="004007E4">
              <w:rPr>
                <w:rFonts w:ascii="Arial" w:hAnsi="Arial" w:cs="Arial"/>
                <w:b/>
                <w:bCs/>
                <w:iCs/>
                <w:color w:val="005BBB"/>
              </w:rPr>
              <w:t>EAQ 2021 Areas of Focus</w:t>
            </w:r>
          </w:p>
          <w:p w14:paraId="570077A8" w14:textId="5DADC9A3" w:rsidR="00534A0A" w:rsidRPr="004007E4" w:rsidRDefault="00534A0A" w:rsidP="00534A0A">
            <w:pPr>
              <w:rPr>
                <w:rFonts w:ascii="Arial" w:hAnsi="Arial" w:cs="Arial"/>
              </w:rPr>
            </w:pPr>
            <w:r w:rsidRPr="004007E4">
              <w:rPr>
                <w:rFonts w:ascii="Arial" w:hAnsi="Arial" w:cs="Arial"/>
              </w:rPr>
              <w:t>Each year, the EAQ team selects focus areas to address the most pressing audit quality issues. EAQ has selected the following areas of focus for 2021:</w:t>
            </w:r>
          </w:p>
          <w:p w14:paraId="47FB3DF9" w14:textId="77777777" w:rsidR="00534A0A" w:rsidRPr="004007E4" w:rsidRDefault="00534A0A" w:rsidP="00534A0A">
            <w:pPr>
              <w:pStyle w:val="ListParagraph"/>
              <w:widowControl/>
              <w:numPr>
                <w:ilvl w:val="0"/>
                <w:numId w:val="17"/>
              </w:numPr>
              <w:autoSpaceDE/>
              <w:autoSpaceDN/>
              <w:adjustRightInd/>
              <w:spacing w:after="160" w:line="259" w:lineRule="auto"/>
              <w:contextualSpacing/>
              <w:rPr>
                <w:rFonts w:ascii="Arial" w:hAnsi="Arial" w:cs="Arial"/>
                <w:sz w:val="22"/>
                <w:szCs w:val="22"/>
              </w:rPr>
            </w:pPr>
            <w:r w:rsidRPr="004007E4">
              <w:rPr>
                <w:rFonts w:ascii="Arial" w:hAnsi="Arial" w:cs="Arial"/>
                <w:sz w:val="22"/>
                <w:szCs w:val="22"/>
              </w:rPr>
              <w:t>COVID-19 audit implications</w:t>
            </w:r>
          </w:p>
          <w:p w14:paraId="0C856069" w14:textId="4F37C5E2" w:rsidR="00534A0A" w:rsidRPr="004007E4" w:rsidRDefault="00534A0A" w:rsidP="00534A0A">
            <w:pPr>
              <w:pStyle w:val="ListParagraph"/>
              <w:widowControl/>
              <w:numPr>
                <w:ilvl w:val="0"/>
                <w:numId w:val="17"/>
              </w:numPr>
              <w:autoSpaceDE/>
              <w:autoSpaceDN/>
              <w:adjustRightInd/>
              <w:spacing w:after="160" w:line="259" w:lineRule="auto"/>
              <w:contextualSpacing/>
              <w:rPr>
                <w:rFonts w:ascii="Arial" w:hAnsi="Arial" w:cs="Arial"/>
                <w:sz w:val="22"/>
                <w:szCs w:val="22"/>
              </w:rPr>
            </w:pPr>
            <w:r w:rsidRPr="004007E4">
              <w:rPr>
                <w:rFonts w:ascii="Arial" w:hAnsi="Arial" w:cs="Arial"/>
                <w:sz w:val="22"/>
                <w:szCs w:val="22"/>
              </w:rPr>
              <w:t>Auditing revenue recognition</w:t>
            </w:r>
          </w:p>
          <w:p w14:paraId="73D065A5" w14:textId="77777777" w:rsidR="00534A0A" w:rsidRPr="004007E4" w:rsidRDefault="00534A0A" w:rsidP="00534A0A">
            <w:pPr>
              <w:pStyle w:val="ListParagraph"/>
              <w:widowControl/>
              <w:numPr>
                <w:ilvl w:val="0"/>
                <w:numId w:val="17"/>
              </w:numPr>
              <w:autoSpaceDE/>
              <w:autoSpaceDN/>
              <w:adjustRightInd/>
              <w:spacing w:after="160" w:line="259" w:lineRule="auto"/>
              <w:contextualSpacing/>
              <w:rPr>
                <w:rFonts w:ascii="Arial" w:hAnsi="Arial" w:cs="Arial"/>
                <w:sz w:val="22"/>
                <w:szCs w:val="22"/>
              </w:rPr>
            </w:pPr>
            <w:r w:rsidRPr="004007E4">
              <w:rPr>
                <w:rFonts w:ascii="Arial" w:hAnsi="Arial" w:cs="Arial"/>
                <w:sz w:val="22"/>
                <w:szCs w:val="22"/>
              </w:rPr>
              <w:t>Risk assessment and response</w:t>
            </w:r>
          </w:p>
          <w:p w14:paraId="1CD8726A" w14:textId="77777777" w:rsidR="00534A0A" w:rsidRPr="004007E4" w:rsidRDefault="00534A0A" w:rsidP="00534A0A">
            <w:pPr>
              <w:pStyle w:val="ListParagraph"/>
              <w:widowControl/>
              <w:numPr>
                <w:ilvl w:val="0"/>
                <w:numId w:val="17"/>
              </w:numPr>
              <w:autoSpaceDE/>
              <w:autoSpaceDN/>
              <w:adjustRightInd/>
              <w:spacing w:after="160" w:line="259" w:lineRule="auto"/>
              <w:contextualSpacing/>
              <w:rPr>
                <w:rFonts w:ascii="Arial" w:hAnsi="Arial" w:cs="Arial"/>
                <w:sz w:val="22"/>
                <w:szCs w:val="22"/>
              </w:rPr>
            </w:pPr>
            <w:r w:rsidRPr="004007E4">
              <w:rPr>
                <w:rFonts w:ascii="Arial" w:hAnsi="Arial" w:cs="Arial"/>
                <w:sz w:val="22"/>
                <w:szCs w:val="22"/>
              </w:rPr>
              <w:t>Engagement acceptance and continuance</w:t>
            </w:r>
          </w:p>
          <w:p w14:paraId="36AA0F92" w14:textId="77777777" w:rsidR="00534A0A" w:rsidRPr="004007E4" w:rsidRDefault="00534A0A" w:rsidP="00534A0A">
            <w:pPr>
              <w:pStyle w:val="ListParagraph"/>
              <w:widowControl/>
              <w:numPr>
                <w:ilvl w:val="0"/>
                <w:numId w:val="17"/>
              </w:numPr>
              <w:autoSpaceDE/>
              <w:autoSpaceDN/>
              <w:adjustRightInd/>
              <w:spacing w:after="160" w:line="259" w:lineRule="auto"/>
              <w:contextualSpacing/>
              <w:rPr>
                <w:rFonts w:ascii="Arial" w:hAnsi="Arial" w:cs="Arial"/>
                <w:sz w:val="22"/>
                <w:szCs w:val="22"/>
              </w:rPr>
            </w:pPr>
            <w:r w:rsidRPr="004007E4">
              <w:rPr>
                <w:rFonts w:ascii="Arial" w:hAnsi="Arial" w:cs="Arial"/>
                <w:sz w:val="22"/>
                <w:szCs w:val="22"/>
              </w:rPr>
              <w:t>Emerging attestation engagements</w:t>
            </w:r>
          </w:p>
          <w:p w14:paraId="511DBAA2" w14:textId="77777777" w:rsidR="006F0B99" w:rsidRPr="004007E4" w:rsidRDefault="006F0B99" w:rsidP="00534A0A"/>
        </w:tc>
      </w:tr>
      <w:tr w:rsidR="006F0B99" w:rsidRPr="00A41C29" w14:paraId="7151EF90" w14:textId="77777777" w:rsidTr="00A84A06">
        <w:trPr>
          <w:trHeight w:val="40"/>
        </w:trPr>
        <w:tc>
          <w:tcPr>
            <w:tcW w:w="5000" w:type="pct"/>
            <w:shd w:val="clear" w:color="auto" w:fill="005BBB"/>
            <w:tcMar>
              <w:right w:w="216" w:type="dxa"/>
            </w:tcMar>
          </w:tcPr>
          <w:p w14:paraId="63633E17" w14:textId="77777777" w:rsidR="006F0B99" w:rsidRPr="00A41C29" w:rsidRDefault="006F0B99" w:rsidP="00ED39F9">
            <w:pPr>
              <w:pStyle w:val="Heading1"/>
              <w:tabs>
                <w:tab w:val="left" w:pos="601"/>
              </w:tabs>
              <w:spacing w:before="0" w:after="0"/>
              <w:jc w:val="both"/>
              <w:rPr>
                <w:rFonts w:ascii="Arial" w:hAnsi="Arial" w:cs="Arial"/>
                <w:caps w:val="0"/>
                <w:color w:val="FFFFFF" w:themeColor="background1"/>
                <w:sz w:val="36"/>
                <w:szCs w:val="36"/>
              </w:rPr>
            </w:pPr>
            <w:r>
              <w:rPr>
                <w:rFonts w:asciiTheme="minorHAnsi" w:hAnsiTheme="minorHAnsi" w:cs="Georgia"/>
                <w:b w:val="0"/>
                <w:bCs w:val="0"/>
                <w:caps w:val="0"/>
                <w:color w:val="auto"/>
                <w:sz w:val="22"/>
                <w:szCs w:val="22"/>
              </w:rPr>
              <w:br w:type="page"/>
            </w:r>
            <w:r>
              <w:br w:type="page"/>
            </w:r>
            <w:r w:rsidRPr="001A680D">
              <w:rPr>
                <w:rFonts w:ascii="Calibri Light" w:hAnsi="Calibri Light" w:cs="Georgia"/>
                <w:bCs w:val="0"/>
                <w:color w:val="FFFFFF" w:themeColor="background1"/>
                <w:sz w:val="40"/>
                <w:szCs w:val="22"/>
              </w:rPr>
              <w:br w:type="page"/>
            </w:r>
          </w:p>
        </w:tc>
      </w:tr>
    </w:tbl>
    <w:p w14:paraId="790836CB" w14:textId="4500A932" w:rsidR="009C3909" w:rsidRDefault="009C3909" w:rsidP="008E7883">
      <w:pPr>
        <w:spacing w:after="0"/>
        <w:rPr>
          <w:sz w:val="4"/>
          <w:szCs w:val="4"/>
        </w:rPr>
      </w:pPr>
    </w:p>
    <w:p w14:paraId="774C6E4F" w14:textId="77777777" w:rsidR="007E4EC0" w:rsidRDefault="007E4EC0" w:rsidP="003C7AC1">
      <w:pPr>
        <w:pStyle w:val="Heading1"/>
        <w:spacing w:before="0" w:after="0"/>
        <w:sectPr w:rsidR="007E4EC0" w:rsidSect="00486D70">
          <w:headerReference w:type="even" r:id="rId30"/>
          <w:headerReference w:type="default" r:id="rId31"/>
          <w:footerReference w:type="even" r:id="rId32"/>
          <w:footerReference w:type="default" r:id="rId33"/>
          <w:headerReference w:type="first" r:id="rId34"/>
          <w:footerReference w:type="first" r:id="rId35"/>
          <w:type w:val="continuous"/>
          <w:pgSz w:w="12240" w:h="15840" w:code="1"/>
          <w:pgMar w:top="720" w:right="720" w:bottom="720" w:left="720" w:header="720" w:footer="432" w:gutter="0"/>
          <w:cols w:space="720"/>
          <w:noEndnote/>
          <w:docGrid w:linePitch="326"/>
        </w:sectPr>
      </w:pPr>
    </w:p>
    <w:tbl>
      <w:tblPr>
        <w:tblW w:w="5049" w:type="pct"/>
        <w:tblCellMar>
          <w:left w:w="115" w:type="dxa"/>
          <w:right w:w="115" w:type="dxa"/>
        </w:tblCellMar>
        <w:tblLook w:val="0600" w:firstRow="0" w:lastRow="0" w:firstColumn="0" w:lastColumn="0" w:noHBand="1" w:noVBand="1"/>
        <w:tblDescription w:val="Layout table page 1"/>
      </w:tblPr>
      <w:tblGrid>
        <w:gridCol w:w="6391"/>
        <w:gridCol w:w="4500"/>
      </w:tblGrid>
      <w:tr w:rsidR="007E4EC0" w:rsidRPr="0077613F" w14:paraId="2BE8F92F" w14:textId="77777777" w:rsidTr="007D79BA">
        <w:trPr>
          <w:trHeight w:val="13830"/>
        </w:trPr>
        <w:tc>
          <w:tcPr>
            <w:tcW w:w="2934" w:type="pct"/>
            <w:tcBorders>
              <w:right w:val="single" w:sz="12" w:space="0" w:color="005BBB"/>
            </w:tcBorders>
            <w:tcMar>
              <w:right w:w="216" w:type="dxa"/>
            </w:tcMar>
          </w:tcPr>
          <w:tbl>
            <w:tblPr>
              <w:tblW w:w="5000" w:type="pct"/>
              <w:jc w:val="center"/>
              <w:shd w:val="clear" w:color="auto" w:fill="005BBB"/>
              <w:tblCellMar>
                <w:left w:w="115" w:type="dxa"/>
                <w:right w:w="115" w:type="dxa"/>
              </w:tblCellMar>
              <w:tblLook w:val="0600" w:firstRow="0" w:lastRow="0" w:firstColumn="0" w:lastColumn="0" w:noHBand="1" w:noVBand="1"/>
              <w:tblDescription w:val="Layout table page 1"/>
            </w:tblPr>
            <w:tblGrid>
              <w:gridCol w:w="6060"/>
            </w:tblGrid>
            <w:tr w:rsidR="007E4EC0" w:rsidRPr="00D636D7" w14:paraId="4A0184CA" w14:textId="77777777" w:rsidTr="00ED39F9">
              <w:trPr>
                <w:trHeight w:val="576"/>
                <w:jc w:val="center"/>
              </w:trPr>
              <w:tc>
                <w:tcPr>
                  <w:tcW w:w="5000" w:type="pct"/>
                  <w:shd w:val="clear" w:color="auto" w:fill="005BBB"/>
                  <w:vAlign w:val="center"/>
                </w:tcPr>
                <w:p w14:paraId="65BACAC3" w14:textId="56148381" w:rsidR="007E4EC0" w:rsidRPr="002606D8" w:rsidRDefault="007E4EC0" w:rsidP="00ED39F9">
                  <w:pPr>
                    <w:pStyle w:val="Heading1"/>
                    <w:spacing w:before="0" w:after="0"/>
                    <w:rPr>
                      <w:rFonts w:ascii="Arial" w:hAnsi="Arial" w:cs="Arial"/>
                      <w:bCs w:val="0"/>
                      <w:caps w:val="0"/>
                      <w:color w:val="FFFFFF" w:themeColor="background1"/>
                      <w:sz w:val="32"/>
                      <w:szCs w:val="32"/>
                    </w:rPr>
                  </w:pPr>
                  <w:r>
                    <w:lastRenderedPageBreak/>
                    <w:br w:type="page"/>
                  </w:r>
                  <w:bookmarkStart w:id="3" w:name="_Hlk39037912"/>
                  <w:r>
                    <w:rPr>
                      <w:rFonts w:asciiTheme="minorHAnsi" w:hAnsiTheme="minorHAnsi" w:cs="Georgia"/>
                      <w:b w:val="0"/>
                      <w:bCs w:val="0"/>
                      <w:caps w:val="0"/>
                      <w:color w:val="auto"/>
                      <w:sz w:val="22"/>
                      <w:szCs w:val="22"/>
                    </w:rPr>
                    <w:br w:type="page"/>
                  </w:r>
                  <w:r w:rsidRPr="002606D8">
                    <w:rPr>
                      <w:rFonts w:asciiTheme="minorHAnsi" w:hAnsiTheme="minorHAnsi" w:cs="Georgia"/>
                      <w:b w:val="0"/>
                      <w:bCs w:val="0"/>
                      <w:caps w:val="0"/>
                      <w:color w:val="auto"/>
                      <w:sz w:val="32"/>
                      <w:szCs w:val="32"/>
                    </w:rPr>
                    <w:br w:type="page"/>
                  </w:r>
                  <w:r w:rsidRPr="002606D8">
                    <w:rPr>
                      <w:sz w:val="32"/>
                      <w:szCs w:val="32"/>
                    </w:rPr>
                    <w:br w:type="page"/>
                  </w:r>
                  <w:r w:rsidRPr="002606D8">
                    <w:rPr>
                      <w:rFonts w:ascii="Calibri Light" w:hAnsi="Calibri Light" w:cs="Georgia"/>
                      <w:bCs w:val="0"/>
                      <w:color w:val="FFFFFF" w:themeColor="background1"/>
                      <w:sz w:val="32"/>
                      <w:szCs w:val="32"/>
                    </w:rPr>
                    <w:br w:type="page"/>
                  </w:r>
                  <w:r w:rsidR="009B72C4">
                    <w:rPr>
                      <w:rFonts w:ascii="Arial" w:hAnsi="Arial" w:cs="Arial"/>
                      <w:bCs w:val="0"/>
                      <w:caps w:val="0"/>
                      <w:color w:val="FFFFFF" w:themeColor="background1"/>
                      <w:sz w:val="32"/>
                      <w:szCs w:val="32"/>
                    </w:rPr>
                    <w:t>Te</w:t>
                  </w:r>
                  <w:r w:rsidR="008E4599" w:rsidRPr="0086671D">
                    <w:rPr>
                      <w:rFonts w:ascii="Arial" w:hAnsi="Arial" w:cs="Arial"/>
                      <w:bCs w:val="0"/>
                      <w:caps w:val="0"/>
                      <w:color w:val="FFFFFF" w:themeColor="background1"/>
                      <w:sz w:val="32"/>
                      <w:szCs w:val="32"/>
                    </w:rPr>
                    <w:t>chnology</w:t>
                  </w:r>
                  <w:r w:rsidR="008E4599">
                    <w:rPr>
                      <w:rFonts w:ascii="Arial" w:hAnsi="Arial" w:cs="Arial"/>
                      <w:bCs w:val="0"/>
                      <w:caps w:val="0"/>
                      <w:color w:val="FFFFFF" w:themeColor="background1"/>
                      <w:sz w:val="32"/>
                      <w:szCs w:val="32"/>
                    </w:rPr>
                    <w:t xml:space="preserve"> helps lead the way</w:t>
                  </w:r>
                </w:p>
              </w:tc>
            </w:tr>
          </w:tbl>
          <w:bookmarkEnd w:id="3"/>
          <w:p w14:paraId="7CE3FA49" w14:textId="77777777" w:rsidR="008E4599" w:rsidRPr="004007E4" w:rsidRDefault="008E4599" w:rsidP="008E4599">
            <w:pPr>
              <w:spacing w:before="100"/>
              <w:rPr>
                <w:rFonts w:ascii="Arial" w:hAnsi="Arial" w:cs="Arial"/>
                <w:b/>
                <w:color w:val="005BBB"/>
              </w:rPr>
            </w:pPr>
            <w:r w:rsidRPr="004007E4">
              <w:rPr>
                <w:rFonts w:ascii="Arial" w:hAnsi="Arial" w:cs="Arial"/>
                <w:b/>
                <w:color w:val="005BBB"/>
              </w:rPr>
              <w:t>Digital Assets</w:t>
            </w:r>
          </w:p>
          <w:p w14:paraId="5105AE57" w14:textId="7283A927" w:rsidR="008E4599" w:rsidRPr="004007E4" w:rsidRDefault="008E4599" w:rsidP="008E4599">
            <w:pPr>
              <w:pStyle w:val="NormalWeb"/>
              <w:shd w:val="clear" w:color="auto" w:fill="FFFFFF"/>
              <w:spacing w:before="0" w:beforeAutospacing="0" w:after="300" w:afterAutospacing="0"/>
              <w:rPr>
                <w:rFonts w:ascii="Arial" w:hAnsi="Arial" w:cs="Arial"/>
                <w:color w:val="111111"/>
                <w:sz w:val="22"/>
                <w:szCs w:val="22"/>
              </w:rPr>
            </w:pPr>
            <w:r w:rsidRPr="004007E4">
              <w:rPr>
                <w:rFonts w:ascii="Arial" w:hAnsi="Arial" w:cs="Arial"/>
                <w:color w:val="111111"/>
                <w:sz w:val="22"/>
                <w:szCs w:val="22"/>
              </w:rPr>
              <w:t>In order to address financial reporting and auditing challenges, the AICPA’s Digital Assets Working Group continues to develop content to help financial statement preparers and auditors who are operating in the digital asset space.</w:t>
            </w:r>
            <w:r w:rsidR="009B72C4">
              <w:rPr>
                <w:rFonts w:ascii="Arial" w:hAnsi="Arial" w:cs="Arial"/>
                <w:color w:val="111111"/>
                <w:sz w:val="22"/>
                <w:szCs w:val="22"/>
              </w:rPr>
              <w:t xml:space="preserve"> </w:t>
            </w:r>
            <w:r w:rsidRPr="004007E4">
              <w:rPr>
                <w:rFonts w:ascii="Arial" w:hAnsi="Arial" w:cs="Arial"/>
                <w:color w:val="111111"/>
                <w:sz w:val="22"/>
                <w:szCs w:val="22"/>
              </w:rPr>
              <w:t xml:space="preserve">The </w:t>
            </w:r>
            <w:hyperlink r:id="rId36" w:history="1">
              <w:r w:rsidRPr="004007E4">
                <w:rPr>
                  <w:rStyle w:val="Hyperlink"/>
                  <w:rFonts w:ascii="Arial" w:hAnsi="Arial" w:cs="Arial"/>
                  <w:sz w:val="22"/>
                  <w:szCs w:val="22"/>
                </w:rPr>
                <w:t>Digital Assets Practice Aid</w:t>
              </w:r>
            </w:hyperlink>
            <w:r w:rsidRPr="004007E4">
              <w:rPr>
                <w:rFonts w:ascii="Arial" w:hAnsi="Arial" w:cs="Arial"/>
                <w:color w:val="111111"/>
                <w:sz w:val="22"/>
                <w:szCs w:val="22"/>
              </w:rPr>
              <w:t>, includes both nonauthoritative accounting and auditing guidance and has recently been updated to include the following areas:</w:t>
            </w:r>
          </w:p>
          <w:p w14:paraId="61FE2821" w14:textId="77777777" w:rsidR="008E4599" w:rsidRPr="004007E4" w:rsidRDefault="008E4599" w:rsidP="008E4599">
            <w:pPr>
              <w:pStyle w:val="NormalWeb"/>
              <w:shd w:val="clear" w:color="auto" w:fill="FFFFFF"/>
              <w:spacing w:before="0" w:beforeAutospacing="0" w:after="300" w:afterAutospacing="0"/>
              <w:rPr>
                <w:rFonts w:ascii="Arial" w:hAnsi="Arial" w:cs="Arial"/>
                <w:i/>
                <w:iCs/>
                <w:color w:val="111111"/>
                <w:sz w:val="22"/>
                <w:szCs w:val="22"/>
              </w:rPr>
            </w:pPr>
            <w:r w:rsidRPr="004007E4">
              <w:rPr>
                <w:rFonts w:ascii="Arial" w:hAnsi="Arial" w:cs="Arial"/>
                <w:i/>
                <w:iCs/>
                <w:color w:val="111111"/>
                <w:sz w:val="22"/>
                <w:szCs w:val="22"/>
              </w:rPr>
              <w:t>Accounting</w:t>
            </w:r>
          </w:p>
          <w:p w14:paraId="6E5662BC" w14:textId="77777777" w:rsidR="008E4599" w:rsidRPr="004007E4" w:rsidRDefault="008E4599" w:rsidP="008E4599">
            <w:pPr>
              <w:pStyle w:val="NormalWeb"/>
              <w:numPr>
                <w:ilvl w:val="0"/>
                <w:numId w:val="13"/>
              </w:numPr>
              <w:shd w:val="clear" w:color="auto" w:fill="FFFFFF"/>
              <w:spacing w:after="300"/>
              <w:rPr>
                <w:rFonts w:ascii="Arial" w:hAnsi="Arial" w:cs="Arial"/>
                <w:sz w:val="22"/>
                <w:szCs w:val="22"/>
              </w:rPr>
            </w:pPr>
            <w:r w:rsidRPr="004007E4">
              <w:rPr>
                <w:rFonts w:ascii="Arial" w:hAnsi="Arial" w:cs="Arial"/>
                <w:sz w:val="22"/>
                <w:szCs w:val="22"/>
              </w:rPr>
              <w:t>Meeting the Definition of an Investment Company when Engaging in Digital Asset Activities</w:t>
            </w:r>
          </w:p>
          <w:p w14:paraId="0316C3F5" w14:textId="77777777" w:rsidR="008E4599" w:rsidRPr="004007E4" w:rsidRDefault="008E4599" w:rsidP="008E4599">
            <w:pPr>
              <w:pStyle w:val="NormalWeb"/>
              <w:numPr>
                <w:ilvl w:val="0"/>
                <w:numId w:val="13"/>
              </w:numPr>
              <w:shd w:val="clear" w:color="auto" w:fill="FFFFFF"/>
              <w:spacing w:after="300"/>
              <w:rPr>
                <w:rFonts w:ascii="Arial" w:hAnsi="Arial" w:cs="Arial"/>
                <w:sz w:val="22"/>
                <w:szCs w:val="22"/>
              </w:rPr>
            </w:pPr>
            <w:r w:rsidRPr="004007E4">
              <w:rPr>
                <w:rFonts w:ascii="Arial" w:hAnsi="Arial" w:cs="Arial"/>
                <w:sz w:val="22"/>
                <w:szCs w:val="22"/>
              </w:rPr>
              <w:t>Accounting by an Investment Company for Digital Assets it Holds as an Investment</w:t>
            </w:r>
          </w:p>
          <w:p w14:paraId="1B6832A5" w14:textId="77777777" w:rsidR="008E4599" w:rsidRPr="004007E4" w:rsidRDefault="008E4599" w:rsidP="008E4599">
            <w:pPr>
              <w:pStyle w:val="NormalWeb"/>
              <w:numPr>
                <w:ilvl w:val="0"/>
                <w:numId w:val="13"/>
              </w:numPr>
              <w:shd w:val="clear" w:color="auto" w:fill="FFFFFF"/>
              <w:spacing w:after="300"/>
              <w:rPr>
                <w:rFonts w:ascii="Arial" w:hAnsi="Arial" w:cs="Arial"/>
                <w:sz w:val="22"/>
                <w:szCs w:val="22"/>
              </w:rPr>
            </w:pPr>
            <w:r w:rsidRPr="004007E4">
              <w:rPr>
                <w:rFonts w:ascii="Arial" w:hAnsi="Arial" w:cs="Arial"/>
                <w:sz w:val="22"/>
                <w:szCs w:val="22"/>
              </w:rPr>
              <w:t>Recognition, Measurement, and Presentation of Digital Assets Specific to Broker-Dealers</w:t>
            </w:r>
          </w:p>
          <w:p w14:paraId="076BB6F8" w14:textId="77777777" w:rsidR="008E4599" w:rsidRPr="004007E4" w:rsidRDefault="008E4599" w:rsidP="008E4599">
            <w:pPr>
              <w:pStyle w:val="NormalWeb"/>
              <w:numPr>
                <w:ilvl w:val="0"/>
                <w:numId w:val="13"/>
              </w:numPr>
              <w:shd w:val="clear" w:color="auto" w:fill="FFFFFF"/>
              <w:spacing w:after="300"/>
              <w:rPr>
                <w:rFonts w:ascii="Arial" w:hAnsi="Arial" w:cs="Arial"/>
                <w:sz w:val="22"/>
                <w:szCs w:val="22"/>
              </w:rPr>
            </w:pPr>
            <w:r w:rsidRPr="004007E4">
              <w:rPr>
                <w:rFonts w:ascii="Arial" w:hAnsi="Arial" w:cs="Arial"/>
                <w:sz w:val="22"/>
                <w:szCs w:val="22"/>
              </w:rPr>
              <w:t>Considerations for Crypto Assets that Require Fair Value Measurement</w:t>
            </w:r>
          </w:p>
          <w:p w14:paraId="4A56F619" w14:textId="77777777" w:rsidR="008E4599" w:rsidRPr="004007E4" w:rsidRDefault="008E4599" w:rsidP="008E4599">
            <w:pPr>
              <w:pStyle w:val="NormalWeb"/>
              <w:numPr>
                <w:ilvl w:val="0"/>
                <w:numId w:val="13"/>
              </w:numPr>
              <w:shd w:val="clear" w:color="auto" w:fill="FFFFFF"/>
              <w:spacing w:after="300"/>
              <w:rPr>
                <w:rFonts w:ascii="Arial" w:hAnsi="Arial" w:cs="Arial"/>
                <w:sz w:val="22"/>
                <w:szCs w:val="22"/>
              </w:rPr>
            </w:pPr>
            <w:r w:rsidRPr="004007E4">
              <w:rPr>
                <w:rFonts w:ascii="Arial" w:hAnsi="Arial" w:cs="Arial"/>
                <w:sz w:val="22"/>
                <w:szCs w:val="22"/>
              </w:rPr>
              <w:t xml:space="preserve">Accounting for </w:t>
            </w:r>
            <w:proofErr w:type="spellStart"/>
            <w:r w:rsidRPr="004007E4">
              <w:rPr>
                <w:rFonts w:ascii="Arial" w:hAnsi="Arial" w:cs="Arial"/>
                <w:sz w:val="22"/>
                <w:szCs w:val="22"/>
              </w:rPr>
              <w:t>Stablecoin</w:t>
            </w:r>
            <w:proofErr w:type="spellEnd"/>
            <w:r w:rsidRPr="004007E4">
              <w:rPr>
                <w:rFonts w:ascii="Arial" w:hAnsi="Arial" w:cs="Arial"/>
                <w:sz w:val="22"/>
                <w:szCs w:val="22"/>
              </w:rPr>
              <w:t xml:space="preserve"> Holdings</w:t>
            </w:r>
          </w:p>
          <w:p w14:paraId="052C0B28" w14:textId="77777777" w:rsidR="008E4599" w:rsidRPr="004007E4" w:rsidRDefault="008E4599" w:rsidP="008E4599">
            <w:pPr>
              <w:pStyle w:val="NormalWeb"/>
              <w:shd w:val="clear" w:color="auto" w:fill="FFFFFF"/>
              <w:spacing w:before="0" w:beforeAutospacing="0" w:after="300" w:afterAutospacing="0"/>
              <w:rPr>
                <w:rFonts w:ascii="Arial" w:hAnsi="Arial" w:cs="Arial"/>
                <w:i/>
                <w:iCs/>
                <w:sz w:val="22"/>
                <w:szCs w:val="22"/>
              </w:rPr>
            </w:pPr>
            <w:r w:rsidRPr="004007E4">
              <w:rPr>
                <w:rFonts w:ascii="Arial" w:hAnsi="Arial" w:cs="Arial"/>
                <w:i/>
                <w:iCs/>
                <w:sz w:val="22"/>
                <w:szCs w:val="22"/>
              </w:rPr>
              <w:t>Auditing</w:t>
            </w:r>
          </w:p>
          <w:p w14:paraId="05B4AA7E" w14:textId="77777777" w:rsidR="008E4599" w:rsidRPr="004007E4" w:rsidRDefault="008E4599" w:rsidP="008E4599">
            <w:pPr>
              <w:pStyle w:val="ListParagraph"/>
              <w:numPr>
                <w:ilvl w:val="0"/>
                <w:numId w:val="13"/>
              </w:numPr>
              <w:rPr>
                <w:rFonts w:ascii="Arial" w:hAnsi="Arial" w:cs="Arial"/>
                <w:sz w:val="22"/>
                <w:szCs w:val="22"/>
              </w:rPr>
            </w:pPr>
            <w:r w:rsidRPr="004007E4">
              <w:rPr>
                <w:rFonts w:ascii="Arial" w:hAnsi="Arial" w:cs="Arial"/>
                <w:sz w:val="22"/>
                <w:szCs w:val="22"/>
              </w:rPr>
              <w:t>Client Acceptance and Continuance</w:t>
            </w:r>
          </w:p>
          <w:p w14:paraId="168D86AA" w14:textId="39740EDB" w:rsidR="007F2279" w:rsidRDefault="008E4599" w:rsidP="008E4599">
            <w:pPr>
              <w:widowControl/>
              <w:autoSpaceDE/>
              <w:autoSpaceDN/>
              <w:adjustRightInd/>
              <w:spacing w:after="0"/>
              <w:textAlignment w:val="baseline"/>
              <w:rPr>
                <w:rFonts w:ascii="Arial" w:hAnsi="Arial" w:cs="Arial"/>
              </w:rPr>
            </w:pPr>
            <w:r w:rsidRPr="004007E4">
              <w:rPr>
                <w:rFonts w:ascii="Arial" w:hAnsi="Arial" w:cs="Arial"/>
              </w:rPr>
              <w:t xml:space="preserve">The Practice Aid was originally issued in </w:t>
            </w:r>
            <w:hyperlink r:id="rId37" w:history="1">
              <w:r w:rsidRPr="004007E4">
                <w:rPr>
                  <w:rStyle w:val="Hyperlink"/>
                  <w:rFonts w:ascii="Arial" w:hAnsi="Arial" w:cs="Arial"/>
                </w:rPr>
                <w:t>2019</w:t>
              </w:r>
            </w:hyperlink>
            <w:r w:rsidRPr="004007E4">
              <w:rPr>
                <w:rFonts w:ascii="Arial" w:hAnsi="Arial" w:cs="Arial"/>
              </w:rPr>
              <w:t xml:space="preserve"> and updated in </w:t>
            </w:r>
            <w:hyperlink r:id="rId38" w:history="1">
              <w:r w:rsidRPr="004007E4">
                <w:rPr>
                  <w:rStyle w:val="Hyperlink"/>
                  <w:rFonts w:ascii="Arial" w:hAnsi="Arial" w:cs="Arial"/>
                </w:rPr>
                <w:t>2020</w:t>
              </w:r>
            </w:hyperlink>
            <w:r w:rsidRPr="004007E4">
              <w:rPr>
                <w:rFonts w:ascii="Arial" w:hAnsi="Arial" w:cs="Arial"/>
              </w:rPr>
              <w:t xml:space="preserve">, to provide nonauthoritative guidance on how to account for and audit digital assets under U.S. generally accepted accounting principles for nongovernmental entities and generally accepted auditing standards, respectively. It </w:t>
            </w:r>
            <w:r w:rsidRPr="004007E4">
              <w:rPr>
                <w:rFonts w:ascii="Arial" w:hAnsi="Arial" w:cs="Arial"/>
                <w:color w:val="111111"/>
              </w:rPr>
              <w:t xml:space="preserve">is intended for those with a fundamental knowledge of blockchain technology and is based on existing professional literature and the experience of members of the Digital Assets Working Group. </w:t>
            </w:r>
            <w:r w:rsidRPr="004007E4">
              <w:rPr>
                <w:rFonts w:ascii="Arial" w:hAnsi="Arial" w:cs="Arial"/>
              </w:rPr>
              <w:t>Additional topics will be added to this practice aid throughout 2020 and beyond.</w:t>
            </w:r>
          </w:p>
          <w:p w14:paraId="346AB8B5" w14:textId="73D85B25" w:rsidR="007D79BA" w:rsidRDefault="007D79BA" w:rsidP="008E4599">
            <w:pPr>
              <w:widowControl/>
              <w:autoSpaceDE/>
              <w:autoSpaceDN/>
              <w:adjustRightInd/>
              <w:spacing w:after="0"/>
              <w:textAlignment w:val="baseline"/>
            </w:pPr>
          </w:p>
          <w:p w14:paraId="0746097F" w14:textId="77777777" w:rsidR="007D79BA" w:rsidRDefault="007D79BA" w:rsidP="008E4599">
            <w:pPr>
              <w:widowControl/>
              <w:autoSpaceDE/>
              <w:autoSpaceDN/>
              <w:adjustRightInd/>
              <w:spacing w:after="0"/>
              <w:textAlignment w:val="baseline"/>
              <w:rPr>
                <w:rFonts w:ascii="Arial" w:hAnsi="Arial" w:cs="Arial"/>
              </w:rPr>
            </w:pPr>
          </w:p>
          <w:p w14:paraId="53ED821A" w14:textId="12F79C8A" w:rsidR="00CC3AC3" w:rsidRPr="007F2279" w:rsidRDefault="00CC3AC3" w:rsidP="008E4599">
            <w:pPr>
              <w:widowControl/>
              <w:autoSpaceDE/>
              <w:autoSpaceDN/>
              <w:adjustRightInd/>
              <w:spacing w:after="0"/>
              <w:textAlignment w:val="baseline"/>
              <w:rPr>
                <w:rFonts w:ascii="Arial" w:hAnsi="Arial" w:cs="Arial"/>
              </w:rPr>
            </w:pPr>
            <w:r w:rsidRPr="00CC3AC3">
              <w:rPr>
                <w:rFonts w:ascii="Arial" w:hAnsi="Arial" w:cs="Arial"/>
                <w:noProof/>
              </w:rPr>
              <w:drawing>
                <wp:inline distT="0" distB="0" distL="0" distR="0" wp14:anchorId="403D14F4" wp14:editId="496EE616">
                  <wp:extent cx="3429000" cy="2159000"/>
                  <wp:effectExtent l="0" t="0" r="0" b="0"/>
                  <wp:docPr id="7" name="Picture 6" descr="A picture containing animal, fish&#10;&#10;Description automatically generated">
                    <a:extLst xmlns:a="http://schemas.openxmlformats.org/drawingml/2006/main">
                      <a:ext uri="{FF2B5EF4-FFF2-40B4-BE49-F238E27FC236}">
                        <a16:creationId xmlns:a16="http://schemas.microsoft.com/office/drawing/2014/main" id="{C96EA8E3-D0E6-471B-9026-C5E2A69FF5F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A picture containing animal, fish&#10;&#10;Description automatically generated">
                            <a:extLst>
                              <a:ext uri="{FF2B5EF4-FFF2-40B4-BE49-F238E27FC236}">
                                <a16:creationId xmlns:a16="http://schemas.microsoft.com/office/drawing/2014/main" id="{C96EA8E3-D0E6-471B-9026-C5E2A69FF5F1}"/>
                              </a:ext>
                            </a:extLst>
                          </pic:cNvPr>
                          <pic:cNvPicPr>
                            <a:picLocks noChangeAspect="1"/>
                          </pic:cNvPicPr>
                        </pic:nvPicPr>
                        <pic:blipFill rotWithShape="1">
                          <a:blip r:embed="rId39" cstate="screen">
                            <a:extLst>
                              <a:ext uri="{28A0092B-C50C-407E-A947-70E740481C1C}">
                                <a14:useLocalDpi xmlns:a14="http://schemas.microsoft.com/office/drawing/2010/main"/>
                              </a:ext>
                            </a:extLst>
                          </a:blip>
                          <a:srcRect t="9138" b="48882"/>
                          <a:stretch/>
                        </pic:blipFill>
                        <pic:spPr bwMode="auto">
                          <a:xfrm>
                            <a:off x="0" y="0"/>
                            <a:ext cx="3429288" cy="2159181"/>
                          </a:xfrm>
                          <a:prstGeom prst="rect">
                            <a:avLst/>
                          </a:prstGeom>
                          <a:ln>
                            <a:noFill/>
                          </a:ln>
                          <a:extLst>
                            <a:ext uri="{53640926-AAD7-44D8-BBD7-CCE9431645EC}">
                              <a14:shadowObscured xmlns:a14="http://schemas.microsoft.com/office/drawing/2010/main"/>
                            </a:ext>
                          </a:extLst>
                        </pic:spPr>
                      </pic:pic>
                    </a:graphicData>
                  </a:graphic>
                </wp:inline>
              </w:drawing>
            </w:r>
          </w:p>
        </w:tc>
        <w:tc>
          <w:tcPr>
            <w:tcW w:w="2066" w:type="pct"/>
            <w:tcBorders>
              <w:top w:val="single" w:sz="12" w:space="0" w:color="005BBB"/>
              <w:left w:val="single" w:sz="12" w:space="0" w:color="005BBB"/>
              <w:bottom w:val="single" w:sz="12" w:space="0" w:color="005BBB"/>
              <w:right w:val="single" w:sz="12" w:space="0" w:color="005BBB"/>
            </w:tcBorders>
            <w:shd w:val="clear" w:color="auto" w:fill="F2F2F2" w:themeFill="background1" w:themeFillShade="F2"/>
            <w:tcMar>
              <w:left w:w="216" w:type="dxa"/>
              <w:right w:w="216" w:type="dxa"/>
            </w:tcMar>
          </w:tcPr>
          <w:p w14:paraId="66D20A50" w14:textId="21D6A00F" w:rsidR="00136AD5" w:rsidRPr="004007E4" w:rsidRDefault="00491F87" w:rsidP="00ED39F9">
            <w:pPr>
              <w:spacing w:before="100" w:line="259" w:lineRule="auto"/>
              <w:rPr>
                <w:rFonts w:ascii="Arial" w:hAnsi="Arial" w:cs="Arial"/>
                <w:b/>
                <w:i/>
                <w:iCs/>
                <w:color w:val="005BBB"/>
                <w:sz w:val="28"/>
                <w:szCs w:val="28"/>
              </w:rPr>
            </w:pPr>
            <w:bookmarkStart w:id="4" w:name="_Hlk39037988"/>
            <w:r w:rsidRPr="004007E4">
              <w:rPr>
                <w:rFonts w:ascii="Arial" w:hAnsi="Arial" w:cs="Arial"/>
                <w:b/>
                <w:i/>
                <w:iCs/>
                <w:color w:val="005BBB"/>
                <w:sz w:val="28"/>
                <w:szCs w:val="28"/>
              </w:rPr>
              <w:t>PR Prompts:</w:t>
            </w:r>
            <w:r w:rsidR="00136AD5" w:rsidRPr="004007E4">
              <w:rPr>
                <w:rFonts w:ascii="Arial" w:hAnsi="Arial" w:cs="Arial"/>
                <w:b/>
                <w:i/>
                <w:iCs/>
                <w:color w:val="005BBB"/>
                <w:sz w:val="28"/>
                <w:szCs w:val="28"/>
              </w:rPr>
              <w:t xml:space="preserve"> </w:t>
            </w:r>
            <w:r w:rsidRPr="004007E4">
              <w:rPr>
                <w:rFonts w:ascii="Arial" w:hAnsi="Arial" w:cs="Arial"/>
                <w:b/>
                <w:i/>
                <w:iCs/>
                <w:color w:val="005BBB"/>
                <w:sz w:val="28"/>
                <w:szCs w:val="28"/>
              </w:rPr>
              <w:t xml:space="preserve">A </w:t>
            </w:r>
            <w:r w:rsidR="00136AD5" w:rsidRPr="004007E4">
              <w:rPr>
                <w:rFonts w:ascii="Arial" w:hAnsi="Arial" w:cs="Arial"/>
                <w:b/>
                <w:i/>
                <w:iCs/>
                <w:color w:val="005BBB"/>
                <w:sz w:val="28"/>
                <w:szCs w:val="28"/>
              </w:rPr>
              <w:t xml:space="preserve">Focus </w:t>
            </w:r>
            <w:r w:rsidR="007F2279" w:rsidRPr="004007E4">
              <w:rPr>
                <w:rFonts w:ascii="Arial" w:hAnsi="Arial" w:cs="Arial"/>
                <w:b/>
                <w:i/>
                <w:iCs/>
                <w:color w:val="005BBB"/>
                <w:sz w:val="28"/>
                <w:szCs w:val="28"/>
              </w:rPr>
              <w:t>on</w:t>
            </w:r>
            <w:r w:rsidRPr="004007E4">
              <w:rPr>
                <w:rFonts w:ascii="Arial" w:hAnsi="Arial" w:cs="Arial"/>
                <w:b/>
                <w:i/>
                <w:iCs/>
                <w:color w:val="005BBB"/>
                <w:sz w:val="28"/>
                <w:szCs w:val="28"/>
              </w:rPr>
              <w:t xml:space="preserve"> </w:t>
            </w:r>
            <w:r w:rsidR="00136AD5" w:rsidRPr="004007E4">
              <w:rPr>
                <w:rFonts w:ascii="Arial" w:hAnsi="Arial" w:cs="Arial"/>
                <w:b/>
                <w:i/>
                <w:iCs/>
                <w:color w:val="005BBB"/>
                <w:sz w:val="28"/>
                <w:szCs w:val="28"/>
              </w:rPr>
              <w:t>Peer Reviews</w:t>
            </w:r>
          </w:p>
          <w:p w14:paraId="233FAACD" w14:textId="56A7111A" w:rsidR="000C19E6" w:rsidRPr="004007E4" w:rsidRDefault="000C19E6" w:rsidP="000C19E6">
            <w:pPr>
              <w:spacing w:before="100" w:line="259" w:lineRule="auto"/>
              <w:rPr>
                <w:rFonts w:ascii="Arial" w:hAnsi="Arial" w:cs="Arial"/>
                <w:b/>
                <w:color w:val="005BBB"/>
              </w:rPr>
            </w:pPr>
            <w:bookmarkStart w:id="5" w:name="_Hlk55401478"/>
            <w:r w:rsidRPr="004007E4">
              <w:rPr>
                <w:rFonts w:ascii="Arial" w:hAnsi="Arial" w:cs="Arial"/>
                <w:b/>
                <w:color w:val="005BBB"/>
              </w:rPr>
              <w:t xml:space="preserve">Something to Agree-Upon </w:t>
            </w:r>
          </w:p>
          <w:p w14:paraId="65A92581" w14:textId="153E8E7A" w:rsidR="000C19E6" w:rsidRPr="004007E4" w:rsidRDefault="002234E0" w:rsidP="00ED39F9">
            <w:pPr>
              <w:spacing w:before="100" w:line="259" w:lineRule="auto"/>
              <w:rPr>
                <w:rFonts w:ascii="Arial" w:hAnsi="Arial" w:cs="Arial"/>
                <w:b/>
                <w:i/>
                <w:iCs/>
                <w:color w:val="005BBB"/>
              </w:rPr>
            </w:pPr>
            <w:r w:rsidRPr="004007E4">
              <w:rPr>
                <w:rFonts w:ascii="Arial" w:hAnsi="Arial" w:cs="Arial"/>
                <w:i/>
                <w:iCs/>
              </w:rPr>
              <w:t>We all agree t</w:t>
            </w:r>
            <w:r w:rsidR="000C19E6" w:rsidRPr="004007E4">
              <w:rPr>
                <w:rFonts w:ascii="Arial" w:hAnsi="Arial" w:cs="Arial"/>
                <w:i/>
                <w:iCs/>
              </w:rPr>
              <w:t xml:space="preserve">he COVID-19 pandemic has </w:t>
            </w:r>
            <w:r w:rsidRPr="004007E4">
              <w:rPr>
                <w:rFonts w:ascii="Arial" w:hAnsi="Arial" w:cs="Arial"/>
                <w:i/>
                <w:iCs/>
              </w:rPr>
              <w:t xml:space="preserve">brought us to uncharted territories, including </w:t>
            </w:r>
            <w:r w:rsidR="000C19E6" w:rsidRPr="004007E4">
              <w:rPr>
                <w:rFonts w:ascii="Arial" w:hAnsi="Arial" w:cs="Arial"/>
                <w:i/>
                <w:iCs/>
              </w:rPr>
              <w:t xml:space="preserve">the need for new </w:t>
            </w:r>
            <w:r w:rsidRPr="004007E4">
              <w:rPr>
                <w:rFonts w:ascii="Arial" w:hAnsi="Arial" w:cs="Arial"/>
                <w:i/>
                <w:iCs/>
              </w:rPr>
              <w:t xml:space="preserve">services for our clients. </w:t>
            </w:r>
            <w:r w:rsidR="000C19E6" w:rsidRPr="004007E4">
              <w:rPr>
                <w:rFonts w:ascii="Arial" w:hAnsi="Arial" w:cs="Arial"/>
                <w:i/>
                <w:iCs/>
              </w:rPr>
              <w:t xml:space="preserve">The </w:t>
            </w:r>
            <w:r w:rsidRPr="004007E4">
              <w:rPr>
                <w:rFonts w:ascii="Arial" w:hAnsi="Arial" w:cs="Arial"/>
                <w:i/>
                <w:iCs/>
              </w:rPr>
              <w:t>loan forgiveness requirements of the Payment Protection Program (</w:t>
            </w:r>
            <w:r w:rsidR="000C19E6" w:rsidRPr="004007E4">
              <w:rPr>
                <w:rFonts w:ascii="Arial" w:hAnsi="Arial" w:cs="Arial"/>
                <w:i/>
                <w:iCs/>
              </w:rPr>
              <w:t>PPP</w:t>
            </w:r>
            <w:r w:rsidRPr="004007E4">
              <w:rPr>
                <w:rFonts w:ascii="Arial" w:hAnsi="Arial" w:cs="Arial"/>
                <w:i/>
                <w:iCs/>
              </w:rPr>
              <w:t>)</w:t>
            </w:r>
            <w:r w:rsidR="000C19E6" w:rsidRPr="004007E4">
              <w:rPr>
                <w:rFonts w:ascii="Arial" w:hAnsi="Arial" w:cs="Arial"/>
                <w:i/>
                <w:iCs/>
              </w:rPr>
              <w:t xml:space="preserve"> have some businesses requiring A</w:t>
            </w:r>
            <w:r w:rsidRPr="004007E4">
              <w:rPr>
                <w:rFonts w:ascii="Arial" w:hAnsi="Arial" w:cs="Arial"/>
                <w:i/>
                <w:iCs/>
              </w:rPr>
              <w:t>greed-</w:t>
            </w:r>
            <w:r w:rsidR="006E430B" w:rsidRPr="004007E4">
              <w:rPr>
                <w:rFonts w:ascii="Arial" w:hAnsi="Arial" w:cs="Arial"/>
                <w:i/>
                <w:iCs/>
              </w:rPr>
              <w:t>U</w:t>
            </w:r>
            <w:r w:rsidRPr="004007E4">
              <w:rPr>
                <w:rFonts w:ascii="Arial" w:hAnsi="Arial" w:cs="Arial"/>
                <w:i/>
                <w:iCs/>
              </w:rPr>
              <w:t>pon Procedures (A</w:t>
            </w:r>
            <w:r w:rsidR="000C19E6" w:rsidRPr="004007E4">
              <w:rPr>
                <w:rFonts w:ascii="Arial" w:hAnsi="Arial" w:cs="Arial"/>
                <w:i/>
                <w:iCs/>
              </w:rPr>
              <w:t>UP</w:t>
            </w:r>
            <w:r w:rsidRPr="004007E4">
              <w:rPr>
                <w:rFonts w:ascii="Arial" w:hAnsi="Arial" w:cs="Arial"/>
                <w:i/>
                <w:iCs/>
              </w:rPr>
              <w:t>)</w:t>
            </w:r>
            <w:r w:rsidR="000C19E6" w:rsidRPr="004007E4">
              <w:rPr>
                <w:rFonts w:ascii="Arial" w:hAnsi="Arial" w:cs="Arial"/>
                <w:i/>
                <w:iCs/>
              </w:rPr>
              <w:t xml:space="preserve"> engagement</w:t>
            </w:r>
            <w:r w:rsidR="00A96FC1" w:rsidRPr="004007E4">
              <w:rPr>
                <w:rFonts w:ascii="Arial" w:hAnsi="Arial" w:cs="Arial"/>
                <w:i/>
                <w:iCs/>
              </w:rPr>
              <w:t>s, a</w:t>
            </w:r>
            <w:r w:rsidR="000C19E6" w:rsidRPr="004007E4">
              <w:rPr>
                <w:rFonts w:ascii="Arial" w:hAnsi="Arial" w:cs="Arial"/>
                <w:i/>
                <w:iCs/>
              </w:rPr>
              <w:t>nd approximately 4,500 new single audits are expected to be needed. Both AUPs and single audits are subject to peer review</w:t>
            </w:r>
            <w:r w:rsidR="00A96FC1" w:rsidRPr="004007E4">
              <w:rPr>
                <w:rFonts w:ascii="Arial" w:hAnsi="Arial" w:cs="Arial"/>
                <w:i/>
                <w:iCs/>
              </w:rPr>
              <w:t>, so</w:t>
            </w:r>
            <w:r w:rsidR="000C19E6" w:rsidRPr="004007E4">
              <w:rPr>
                <w:rFonts w:ascii="Arial" w:hAnsi="Arial" w:cs="Arial"/>
                <w:i/>
                <w:iCs/>
              </w:rPr>
              <w:t xml:space="preserve"> </w:t>
            </w:r>
            <w:r w:rsidR="00A96FC1" w:rsidRPr="004007E4">
              <w:rPr>
                <w:rFonts w:ascii="Arial" w:hAnsi="Arial" w:cs="Arial"/>
                <w:i/>
                <w:iCs/>
              </w:rPr>
              <w:t xml:space="preserve">be </w:t>
            </w:r>
            <w:r w:rsidR="000C19E6" w:rsidRPr="004007E4">
              <w:rPr>
                <w:rFonts w:ascii="Arial" w:hAnsi="Arial" w:cs="Arial"/>
                <w:i/>
                <w:iCs/>
              </w:rPr>
              <w:t xml:space="preserve">sure to </w:t>
            </w:r>
            <w:r w:rsidR="00A96FC1" w:rsidRPr="004007E4">
              <w:rPr>
                <w:rFonts w:ascii="Arial" w:hAnsi="Arial" w:cs="Arial"/>
                <w:i/>
                <w:iCs/>
              </w:rPr>
              <w:t xml:space="preserve">let us know if you plan to perform </w:t>
            </w:r>
            <w:r w:rsidR="000C19E6" w:rsidRPr="004007E4">
              <w:rPr>
                <w:rFonts w:ascii="Arial" w:hAnsi="Arial" w:cs="Arial"/>
                <w:i/>
                <w:iCs/>
              </w:rPr>
              <w:t>these engagements</w:t>
            </w:r>
            <w:r w:rsidR="006E430B" w:rsidRPr="004007E4">
              <w:rPr>
                <w:rFonts w:ascii="Arial" w:hAnsi="Arial" w:cs="Arial"/>
                <w:i/>
                <w:iCs/>
              </w:rPr>
              <w:t>. And don’t forget to include them on</w:t>
            </w:r>
            <w:r w:rsidR="000C19E6" w:rsidRPr="004007E4">
              <w:rPr>
                <w:rFonts w:ascii="Arial" w:hAnsi="Arial" w:cs="Arial"/>
                <w:i/>
                <w:iCs/>
              </w:rPr>
              <w:t xml:space="preserve"> your Peer Review Information Form!</w:t>
            </w:r>
          </w:p>
          <w:bookmarkEnd w:id="5"/>
          <w:p w14:paraId="59A4FE87" w14:textId="2333A0B5" w:rsidR="007E4EC0" w:rsidRPr="004007E4" w:rsidRDefault="00136AD5" w:rsidP="00ED39F9">
            <w:pPr>
              <w:spacing w:before="100" w:line="259" w:lineRule="auto"/>
              <w:rPr>
                <w:rFonts w:ascii="Arial" w:hAnsi="Arial" w:cs="Arial"/>
                <w:b/>
                <w:color w:val="005BBB"/>
              </w:rPr>
            </w:pPr>
            <w:r w:rsidRPr="004007E4">
              <w:rPr>
                <w:rFonts w:ascii="Arial" w:hAnsi="Arial" w:cs="Arial"/>
                <w:b/>
                <w:color w:val="005BBB"/>
              </w:rPr>
              <w:t>What’s the matter? (for further consideration)</w:t>
            </w:r>
          </w:p>
          <w:bookmarkEnd w:id="4"/>
          <w:p w14:paraId="43301038" w14:textId="28DD5DAC" w:rsidR="007E4EC0" w:rsidRPr="004007E4" w:rsidRDefault="00136AD5" w:rsidP="00ED39F9">
            <w:pPr>
              <w:rPr>
                <w:rFonts w:ascii="Arial" w:hAnsi="Arial" w:cs="Arial"/>
              </w:rPr>
            </w:pPr>
            <w:r w:rsidRPr="004007E4">
              <w:rPr>
                <w:rFonts w:ascii="Arial" w:hAnsi="Arial" w:cs="Arial"/>
                <w:i/>
                <w:iCs/>
              </w:rPr>
              <w:t xml:space="preserve">Learn from data collected </w:t>
            </w:r>
            <w:r w:rsidR="00491F87" w:rsidRPr="004007E4">
              <w:rPr>
                <w:rFonts w:ascii="Arial" w:hAnsi="Arial" w:cs="Arial"/>
                <w:i/>
                <w:iCs/>
              </w:rPr>
              <w:t xml:space="preserve">by the AICPA through Matter for Further Consideration (MFC) forms </w:t>
            </w:r>
            <w:r w:rsidR="00C560A3" w:rsidRPr="004007E4">
              <w:rPr>
                <w:rFonts w:ascii="Arial" w:hAnsi="Arial" w:cs="Arial"/>
                <w:i/>
                <w:iCs/>
              </w:rPr>
              <w:t xml:space="preserve">in peer reviews, </w:t>
            </w:r>
            <w:r w:rsidR="00DF2528" w:rsidRPr="004007E4">
              <w:rPr>
                <w:rFonts w:ascii="Arial" w:hAnsi="Arial" w:cs="Arial"/>
                <w:i/>
                <w:iCs/>
              </w:rPr>
              <w:t xml:space="preserve">such as those </w:t>
            </w:r>
            <w:r w:rsidR="00491F87" w:rsidRPr="004007E4">
              <w:rPr>
                <w:rFonts w:ascii="Arial" w:hAnsi="Arial" w:cs="Arial"/>
                <w:i/>
                <w:iCs/>
              </w:rPr>
              <w:t>relating</w:t>
            </w:r>
            <w:r w:rsidR="00C560A3" w:rsidRPr="004007E4">
              <w:rPr>
                <w:rFonts w:ascii="Arial" w:hAnsi="Arial" w:cs="Arial"/>
                <w:i/>
                <w:iCs/>
              </w:rPr>
              <w:t xml:space="preserve"> to</w:t>
            </w:r>
            <w:r w:rsidR="00491F87" w:rsidRPr="004007E4">
              <w:rPr>
                <w:rFonts w:ascii="Arial" w:hAnsi="Arial" w:cs="Arial"/>
                <w:i/>
                <w:iCs/>
              </w:rPr>
              <w:t xml:space="preserve"> </w:t>
            </w:r>
            <w:r w:rsidR="00C560A3" w:rsidRPr="004007E4">
              <w:rPr>
                <w:rFonts w:ascii="Arial" w:hAnsi="Arial" w:cs="Arial"/>
                <w:i/>
                <w:iCs/>
              </w:rPr>
              <w:t xml:space="preserve">Professional Standards and </w:t>
            </w:r>
            <w:r w:rsidR="00DF2528" w:rsidRPr="004007E4">
              <w:rPr>
                <w:rFonts w:ascii="Arial" w:hAnsi="Arial" w:cs="Arial"/>
                <w:i/>
                <w:iCs/>
              </w:rPr>
              <w:t xml:space="preserve">firm </w:t>
            </w:r>
            <w:r w:rsidR="00C560A3" w:rsidRPr="004007E4">
              <w:rPr>
                <w:rFonts w:ascii="Arial" w:hAnsi="Arial" w:cs="Arial"/>
                <w:i/>
                <w:iCs/>
              </w:rPr>
              <w:t>Practice Areas</w:t>
            </w:r>
            <w:r w:rsidR="00DF2528" w:rsidRPr="004007E4">
              <w:rPr>
                <w:rFonts w:ascii="Arial" w:hAnsi="Arial" w:cs="Arial"/>
                <w:i/>
                <w:iCs/>
              </w:rPr>
              <w:t xml:space="preserve">. </w:t>
            </w:r>
            <w:r w:rsidR="00491F87" w:rsidRPr="004007E4">
              <w:rPr>
                <w:rFonts w:ascii="Arial" w:hAnsi="Arial" w:cs="Arial"/>
                <w:i/>
                <w:iCs/>
              </w:rPr>
              <w:t xml:space="preserve">This list of </w:t>
            </w:r>
            <w:hyperlink r:id="rId40" w:history="1">
              <w:r w:rsidR="00491F87" w:rsidRPr="004007E4">
                <w:rPr>
                  <w:rStyle w:val="Hyperlink"/>
                  <w:rFonts w:ascii="Arial" w:hAnsi="Arial" w:cs="Arial"/>
                  <w:i/>
                  <w:iCs/>
                </w:rPr>
                <w:t>Example Matters in Peer Reviews</w:t>
              </w:r>
            </w:hyperlink>
            <w:r w:rsidR="00491F87" w:rsidRPr="004007E4">
              <w:rPr>
                <w:rFonts w:ascii="Arial" w:hAnsi="Arial" w:cs="Arial"/>
                <w:i/>
                <w:iCs/>
              </w:rPr>
              <w:t xml:space="preserve"> highlights </w:t>
            </w:r>
            <w:r w:rsidRPr="004007E4">
              <w:rPr>
                <w:rFonts w:ascii="Arial" w:hAnsi="Arial" w:cs="Arial"/>
                <w:i/>
                <w:iCs/>
              </w:rPr>
              <w:t xml:space="preserve">trouble spots </w:t>
            </w:r>
            <w:r w:rsidR="00491F87" w:rsidRPr="004007E4">
              <w:rPr>
                <w:rFonts w:ascii="Arial" w:hAnsi="Arial" w:cs="Arial"/>
                <w:i/>
                <w:iCs/>
              </w:rPr>
              <w:t>faced by firms to help you stay focused on quality.</w:t>
            </w:r>
            <w:r w:rsidR="00491F87" w:rsidRPr="004007E4">
              <w:rPr>
                <w:rFonts w:ascii="Arial" w:hAnsi="Arial" w:cs="Arial"/>
              </w:rPr>
              <w:t xml:space="preserve"> </w:t>
            </w:r>
          </w:p>
          <w:p w14:paraId="1946C4E3" w14:textId="7F5F6C5B" w:rsidR="00DF2528" w:rsidRPr="004007E4" w:rsidRDefault="00DF2528" w:rsidP="00DF2528">
            <w:pPr>
              <w:spacing w:before="100" w:line="259" w:lineRule="auto"/>
              <w:rPr>
                <w:rFonts w:ascii="Arial" w:hAnsi="Arial" w:cs="Arial"/>
                <w:b/>
                <w:color w:val="005BBB"/>
              </w:rPr>
            </w:pPr>
            <w:r w:rsidRPr="004007E4">
              <w:rPr>
                <w:rFonts w:ascii="Arial" w:hAnsi="Arial" w:cs="Arial"/>
                <w:b/>
                <w:color w:val="005BBB"/>
              </w:rPr>
              <w:t xml:space="preserve">You’ve got questions, and </w:t>
            </w:r>
            <w:r w:rsidR="009B72C4">
              <w:rPr>
                <w:rFonts w:ascii="Arial" w:hAnsi="Arial" w:cs="Arial"/>
                <w:b/>
                <w:color w:val="005BBB"/>
              </w:rPr>
              <w:t>the AICPA</w:t>
            </w:r>
            <w:r w:rsidRPr="004007E4">
              <w:rPr>
                <w:rFonts w:ascii="Arial" w:hAnsi="Arial" w:cs="Arial"/>
                <w:b/>
                <w:color w:val="005BBB"/>
              </w:rPr>
              <w:t xml:space="preserve"> ha</w:t>
            </w:r>
            <w:r w:rsidR="009B72C4">
              <w:rPr>
                <w:rFonts w:ascii="Arial" w:hAnsi="Arial" w:cs="Arial"/>
                <w:b/>
                <w:color w:val="005BBB"/>
              </w:rPr>
              <w:t>s</w:t>
            </w:r>
            <w:r w:rsidRPr="004007E4">
              <w:rPr>
                <w:rFonts w:ascii="Arial" w:hAnsi="Arial" w:cs="Arial"/>
                <w:b/>
                <w:color w:val="005BBB"/>
              </w:rPr>
              <w:t xml:space="preserve"> answers! </w:t>
            </w:r>
          </w:p>
          <w:p w14:paraId="15B5D100" w14:textId="24176C5A" w:rsidR="007E4EC0" w:rsidRPr="004007E4" w:rsidRDefault="00DF2528" w:rsidP="00ED39F9">
            <w:pPr>
              <w:spacing w:after="0"/>
              <w:rPr>
                <w:rFonts w:ascii="Arial" w:hAnsi="Arial" w:cs="Arial"/>
                <w:i/>
                <w:iCs/>
              </w:rPr>
            </w:pPr>
            <w:r w:rsidRPr="004007E4">
              <w:rPr>
                <w:rFonts w:ascii="Arial" w:hAnsi="Arial" w:cs="Arial"/>
                <w:i/>
                <w:iCs/>
              </w:rPr>
              <w:t xml:space="preserve">Do you have a peer review question and don’t know where to start? We recommend this helpful resource: </w:t>
            </w:r>
            <w:hyperlink r:id="rId41" w:history="1">
              <w:r w:rsidRPr="004007E4">
                <w:rPr>
                  <w:rStyle w:val="Hyperlink"/>
                  <w:rFonts w:ascii="Arial" w:hAnsi="Arial" w:cs="Arial"/>
                  <w:i/>
                  <w:iCs/>
                </w:rPr>
                <w:t>Questions &amp; Answers About the AICPA Peer Review Program</w:t>
              </w:r>
            </w:hyperlink>
            <w:r w:rsidRPr="004007E4">
              <w:rPr>
                <w:rFonts w:ascii="Arial" w:hAnsi="Arial" w:cs="Arial"/>
                <w:i/>
                <w:iCs/>
              </w:rPr>
              <w:t xml:space="preserve">. This document includes questions commonly asked by firms undergoing </w:t>
            </w:r>
            <w:r w:rsidR="00A75572">
              <w:rPr>
                <w:rFonts w:ascii="Arial" w:hAnsi="Arial" w:cs="Arial"/>
                <w:i/>
                <w:iCs/>
              </w:rPr>
              <w:t>their</w:t>
            </w:r>
            <w:r w:rsidRPr="004007E4">
              <w:rPr>
                <w:rFonts w:ascii="Arial" w:hAnsi="Arial" w:cs="Arial"/>
                <w:i/>
                <w:iCs/>
              </w:rPr>
              <w:t xml:space="preserve"> peer review</w:t>
            </w:r>
            <w:r w:rsidR="00A75572">
              <w:rPr>
                <w:rFonts w:ascii="Arial" w:hAnsi="Arial" w:cs="Arial"/>
                <w:i/>
                <w:iCs/>
              </w:rPr>
              <w:t>s</w:t>
            </w:r>
            <w:r w:rsidRPr="004007E4">
              <w:rPr>
                <w:rFonts w:ascii="Arial" w:hAnsi="Arial" w:cs="Arial"/>
                <w:i/>
                <w:iCs/>
              </w:rPr>
              <w:t xml:space="preserve"> and will help you understand requirements related to peer review with other related information and resources. </w:t>
            </w:r>
          </w:p>
          <w:p w14:paraId="08CC34F2" w14:textId="77777777" w:rsidR="00DF2528" w:rsidRDefault="00DF2528" w:rsidP="00ED39F9">
            <w:pPr>
              <w:spacing w:after="0"/>
              <w:rPr>
                <w:rFonts w:ascii="Arial" w:hAnsi="Arial" w:cs="Arial"/>
              </w:rPr>
            </w:pPr>
          </w:p>
          <w:p w14:paraId="5C78C4D1" w14:textId="77777777" w:rsidR="00DF2528" w:rsidRDefault="00DF2528" w:rsidP="00ED39F9">
            <w:pPr>
              <w:spacing w:after="0"/>
              <w:rPr>
                <w:rFonts w:ascii="Arial" w:hAnsi="Arial" w:cs="Arial"/>
              </w:rPr>
            </w:pPr>
          </w:p>
          <w:p w14:paraId="0B17719B" w14:textId="77777777" w:rsidR="00203006" w:rsidRDefault="00203006" w:rsidP="00ED39F9">
            <w:pPr>
              <w:spacing w:after="0"/>
              <w:rPr>
                <w:rFonts w:ascii="Arial" w:hAnsi="Arial" w:cs="Arial"/>
              </w:rPr>
            </w:pPr>
          </w:p>
          <w:p w14:paraId="792F7002" w14:textId="60420A7B" w:rsidR="00203006" w:rsidRPr="0077613F" w:rsidRDefault="00203006" w:rsidP="00ED39F9">
            <w:pPr>
              <w:spacing w:after="0"/>
              <w:rPr>
                <w:rFonts w:ascii="Arial" w:hAnsi="Arial" w:cs="Arial"/>
              </w:rPr>
            </w:pPr>
          </w:p>
        </w:tc>
      </w:tr>
    </w:tbl>
    <w:tbl>
      <w:tblPr>
        <w:tblpPr w:leftFromText="180" w:rightFromText="180" w:vertAnchor="text" w:horzAnchor="margin" w:tblpXSpec="center" w:tblpY="-118"/>
        <w:tblOverlap w:val="never"/>
        <w:tblW w:w="5324" w:type="pct"/>
        <w:tblBorders>
          <w:top w:val="single" w:sz="12" w:space="0" w:color="005BBB"/>
          <w:left w:val="single" w:sz="12" w:space="0" w:color="005BBB"/>
          <w:bottom w:val="single" w:sz="12" w:space="0" w:color="005BBB"/>
          <w:right w:val="single" w:sz="12" w:space="0" w:color="005BBB"/>
        </w:tblBorders>
        <w:tblCellMar>
          <w:left w:w="115" w:type="dxa"/>
          <w:right w:w="115" w:type="dxa"/>
        </w:tblCellMar>
        <w:tblLook w:val="0600" w:firstRow="0" w:lastRow="0" w:firstColumn="0" w:lastColumn="0" w:noHBand="1" w:noVBand="1"/>
        <w:tblDescription w:val="Layout table page 1"/>
      </w:tblPr>
      <w:tblGrid>
        <w:gridCol w:w="11468"/>
      </w:tblGrid>
      <w:tr w:rsidR="008E4599" w:rsidRPr="005529FF" w14:paraId="25C23768" w14:textId="77777777" w:rsidTr="00526201">
        <w:trPr>
          <w:trHeight w:val="576"/>
        </w:trPr>
        <w:tc>
          <w:tcPr>
            <w:tcW w:w="5000" w:type="pct"/>
            <w:shd w:val="clear" w:color="auto" w:fill="005BBB"/>
            <w:tcMar>
              <w:right w:w="216" w:type="dxa"/>
            </w:tcMar>
            <w:vAlign w:val="bottom"/>
          </w:tcPr>
          <w:p w14:paraId="2084E7ED" w14:textId="30F82A4D" w:rsidR="008E4599" w:rsidRPr="00651003" w:rsidRDefault="0060304C" w:rsidP="00526201">
            <w:pPr>
              <w:rPr>
                <w:rFonts w:ascii="Arial" w:hAnsi="Arial" w:cs="Arial"/>
                <w:b/>
                <w:bCs/>
                <w:sz w:val="28"/>
                <w:szCs w:val="28"/>
              </w:rPr>
            </w:pPr>
            <w:r>
              <w:rPr>
                <w:rFonts w:ascii="Arial" w:hAnsi="Arial" w:cs="Arial"/>
                <w:b/>
                <w:bCs/>
                <w:color w:val="FFFFFF" w:themeColor="background1"/>
                <w:sz w:val="28"/>
                <w:szCs w:val="28"/>
              </w:rPr>
              <w:lastRenderedPageBreak/>
              <w:t>Some</w:t>
            </w:r>
            <w:r w:rsidR="008E4599">
              <w:rPr>
                <w:rFonts w:ascii="Arial" w:hAnsi="Arial" w:cs="Arial"/>
                <w:b/>
                <w:bCs/>
                <w:color w:val="FFFFFF" w:themeColor="background1"/>
                <w:sz w:val="28"/>
                <w:szCs w:val="28"/>
              </w:rPr>
              <w:t xml:space="preserve"> Ethical Prompt</w:t>
            </w:r>
            <w:r w:rsidR="0011701C">
              <w:rPr>
                <w:rFonts w:ascii="Arial" w:hAnsi="Arial" w:cs="Arial"/>
                <w:b/>
                <w:bCs/>
                <w:color w:val="FFFFFF" w:themeColor="background1"/>
                <w:sz w:val="28"/>
                <w:szCs w:val="28"/>
              </w:rPr>
              <w:t>s</w:t>
            </w:r>
          </w:p>
        </w:tc>
      </w:tr>
      <w:tr w:rsidR="008E4599" w:rsidRPr="005529FF" w14:paraId="75002DF2" w14:textId="77777777" w:rsidTr="00526201">
        <w:trPr>
          <w:trHeight w:val="12902"/>
        </w:trPr>
        <w:tc>
          <w:tcPr>
            <w:tcW w:w="5000" w:type="pct"/>
            <w:shd w:val="clear" w:color="auto" w:fill="FFFFFF" w:themeFill="background1"/>
            <w:tcMar>
              <w:right w:w="216" w:type="dxa"/>
            </w:tcMar>
          </w:tcPr>
          <w:p w14:paraId="7CC403C4" w14:textId="77777777" w:rsidR="008E4599" w:rsidRPr="0060304C" w:rsidRDefault="008E4599" w:rsidP="004B79B6">
            <w:pPr>
              <w:tabs>
                <w:tab w:val="left" w:pos="6003"/>
              </w:tabs>
              <w:spacing w:before="120"/>
              <w:rPr>
                <w:rFonts w:ascii="Arial" w:hAnsi="Arial" w:cs="Arial"/>
                <w:b/>
                <w:color w:val="005BBB"/>
              </w:rPr>
            </w:pPr>
            <w:r w:rsidRPr="0060304C">
              <w:rPr>
                <w:rFonts w:ascii="Arial" w:hAnsi="Arial" w:cs="Arial"/>
                <w:b/>
                <w:color w:val="005BBB"/>
              </w:rPr>
              <w:t>Are you thinking of using a specialist in the COVID-19 environment?</w:t>
            </w:r>
          </w:p>
          <w:p w14:paraId="06D168D9" w14:textId="26E2F5E4" w:rsidR="008E4599" w:rsidRPr="0060304C" w:rsidRDefault="008E4599" w:rsidP="008E4599">
            <w:pPr>
              <w:pStyle w:val="paragraph"/>
              <w:spacing w:before="0" w:beforeAutospacing="0" w:after="0" w:afterAutospacing="0"/>
              <w:textAlignment w:val="baseline"/>
              <w:rPr>
                <w:rStyle w:val="eop"/>
                <w:rFonts w:ascii="Arial" w:hAnsi="Arial" w:cs="Arial"/>
                <w:sz w:val="22"/>
                <w:szCs w:val="22"/>
              </w:rPr>
            </w:pPr>
            <w:r w:rsidRPr="0060304C">
              <w:rPr>
                <w:rStyle w:val="normaltextrun"/>
                <w:rFonts w:ascii="Arial" w:hAnsi="Arial" w:cs="Arial"/>
                <w:sz w:val="22"/>
                <w:szCs w:val="22"/>
              </w:rPr>
              <w:t>Staff of the</w:t>
            </w:r>
            <w:r w:rsidR="00A75572">
              <w:rPr>
                <w:rStyle w:val="normaltextrun"/>
                <w:rFonts w:ascii="Arial" w:hAnsi="Arial" w:cs="Arial"/>
                <w:sz w:val="22"/>
                <w:szCs w:val="22"/>
              </w:rPr>
              <w:t xml:space="preserve"> AICPA </w:t>
            </w:r>
            <w:r w:rsidRPr="0060304C">
              <w:rPr>
                <w:rStyle w:val="normaltextrun"/>
                <w:rFonts w:ascii="Arial" w:hAnsi="Arial" w:cs="Arial"/>
                <w:sz w:val="22"/>
                <w:szCs w:val="22"/>
              </w:rPr>
              <w:t>Professional Ethics Division, along with the International Ethics Standards Board (IESBA) and International Auditing and Assurance Standards Board (IAASB), have released a new report to help professional accountants decide if and when it’s right to use specialists in the challenges of the pandemic.</w:t>
            </w:r>
          </w:p>
          <w:p w14:paraId="2AAFFD03" w14:textId="77777777" w:rsidR="008E4599" w:rsidRPr="0060304C" w:rsidRDefault="008E4599" w:rsidP="008E4599">
            <w:pPr>
              <w:pStyle w:val="paragraph"/>
              <w:spacing w:before="0" w:beforeAutospacing="0" w:after="0" w:afterAutospacing="0"/>
              <w:textAlignment w:val="baseline"/>
              <w:rPr>
                <w:rFonts w:ascii="Arial" w:hAnsi="Arial" w:cs="Arial"/>
                <w:sz w:val="22"/>
                <w:szCs w:val="22"/>
              </w:rPr>
            </w:pPr>
          </w:p>
          <w:p w14:paraId="3C8A2E10" w14:textId="60479571" w:rsidR="008E4599" w:rsidRDefault="00F82E1D" w:rsidP="008E4599">
            <w:pPr>
              <w:pStyle w:val="paragraph"/>
              <w:spacing w:before="0" w:beforeAutospacing="0" w:after="0" w:afterAutospacing="0"/>
              <w:textAlignment w:val="baseline"/>
              <w:rPr>
                <w:rStyle w:val="normaltextrun"/>
                <w:rFonts w:ascii="Arial" w:hAnsi="Arial" w:cs="Arial"/>
                <w:sz w:val="22"/>
                <w:szCs w:val="22"/>
              </w:rPr>
            </w:pPr>
            <w:hyperlink r:id="rId42" w:tgtFrame="_blank" w:history="1">
              <w:r w:rsidR="008E4599" w:rsidRPr="0060304C">
                <w:rPr>
                  <w:rStyle w:val="normaltextrun"/>
                  <w:rFonts w:ascii="Arial" w:hAnsi="Arial" w:cs="Arial"/>
                  <w:i/>
                  <w:iCs/>
                  <w:color w:val="0000FF"/>
                  <w:sz w:val="22"/>
                  <w:szCs w:val="22"/>
                  <w:u w:val="single"/>
                </w:rPr>
                <w:t>Using Specialists in the COVID-19 Environment: Including Considerations for Involving Specialists in Audits of Financial Statements</w:t>
              </w:r>
            </w:hyperlink>
            <w:r w:rsidR="008E4599" w:rsidRPr="0060304C">
              <w:rPr>
                <w:rStyle w:val="normaltextrun"/>
                <w:rFonts w:ascii="Arial" w:hAnsi="Arial" w:cs="Arial"/>
                <w:sz w:val="22"/>
                <w:szCs w:val="22"/>
              </w:rPr>
              <w:t> is available on the IESBA website. We think you’ll find it helpful.</w:t>
            </w:r>
          </w:p>
          <w:p w14:paraId="353CE7B8" w14:textId="77777777" w:rsidR="00FD634C" w:rsidRPr="0060304C" w:rsidRDefault="00FD634C" w:rsidP="008E4599">
            <w:pPr>
              <w:pStyle w:val="paragraph"/>
              <w:spacing w:before="0" w:beforeAutospacing="0" w:after="0" w:afterAutospacing="0"/>
              <w:textAlignment w:val="baseline"/>
              <w:rPr>
                <w:rFonts w:ascii="Arial" w:hAnsi="Arial" w:cs="Arial"/>
                <w:sz w:val="22"/>
                <w:szCs w:val="22"/>
              </w:rPr>
            </w:pPr>
          </w:p>
          <w:p w14:paraId="1C15EAB7" w14:textId="2351126D" w:rsidR="008E4599" w:rsidRPr="0060304C" w:rsidRDefault="003709AB" w:rsidP="004B79B6">
            <w:pPr>
              <w:tabs>
                <w:tab w:val="left" w:pos="6003"/>
              </w:tabs>
              <w:rPr>
                <w:rFonts w:ascii="Arial" w:hAnsi="Arial" w:cs="Arial"/>
                <w:b/>
                <w:color w:val="005BBB"/>
              </w:rPr>
            </w:pPr>
            <w:r>
              <w:rPr>
                <w:rFonts w:ascii="Arial" w:hAnsi="Arial" w:cs="Arial"/>
                <w:b/>
                <w:color w:val="005BBB"/>
              </w:rPr>
              <w:t>Provide</w:t>
            </w:r>
            <w:r w:rsidR="008E4599" w:rsidRPr="0060304C">
              <w:rPr>
                <w:rFonts w:ascii="Arial" w:hAnsi="Arial" w:cs="Arial"/>
                <w:b/>
                <w:color w:val="005BBB"/>
              </w:rPr>
              <w:t xml:space="preserve"> your input on staff augmentation arrangements</w:t>
            </w:r>
          </w:p>
          <w:p w14:paraId="0FDA2C3A" w14:textId="201AD2AF" w:rsidR="008E4599" w:rsidRPr="0060304C" w:rsidRDefault="008E4599" w:rsidP="00FD634C">
            <w:pPr>
              <w:widowControl/>
              <w:tabs>
                <w:tab w:val="left" w:pos="6003"/>
              </w:tabs>
              <w:autoSpaceDE/>
              <w:autoSpaceDN/>
              <w:adjustRightInd/>
              <w:spacing w:after="0"/>
              <w:ind w:right="245"/>
              <w:contextualSpacing/>
              <w:rPr>
                <w:rStyle w:val="eop"/>
                <w:rFonts w:ascii="Arial" w:hAnsi="Arial" w:cs="Arial"/>
                <w:color w:val="000000"/>
                <w:shd w:val="clear" w:color="auto" w:fill="FFFFFF"/>
              </w:rPr>
            </w:pPr>
            <w:r w:rsidRPr="0060304C">
              <w:rPr>
                <w:rStyle w:val="normaltextrun"/>
                <w:rFonts w:ascii="Arial" w:hAnsi="Arial" w:cs="Arial"/>
                <w:color w:val="000000"/>
                <w:shd w:val="clear" w:color="auto" w:fill="FFFFFF"/>
              </w:rPr>
              <w:t>The Professional Ethics Executive Committee (PEEC) voted at its August meeting to release the proposed interpretation “</w:t>
            </w:r>
            <w:hyperlink r:id="rId43" w:tgtFrame="_blank" w:history="1">
              <w:r w:rsidRPr="0060304C">
                <w:rPr>
                  <w:rStyle w:val="normaltextrun"/>
                  <w:rFonts w:ascii="Arial" w:hAnsi="Arial" w:cs="Arial"/>
                  <w:color w:val="0000FF"/>
                  <w:u w:val="single"/>
                  <w:shd w:val="clear" w:color="auto" w:fill="FFFFFF"/>
                </w:rPr>
                <w:t>Staff Augmentation Arrangements</w:t>
              </w:r>
            </w:hyperlink>
            <w:r w:rsidRPr="0060304C">
              <w:rPr>
                <w:rStyle w:val="normaltextrun"/>
                <w:rFonts w:ascii="Arial" w:hAnsi="Arial" w:cs="Arial"/>
                <w:color w:val="0000FF"/>
                <w:u w:val="single"/>
                <w:shd w:val="clear" w:color="auto" w:fill="FFFFFF"/>
              </w:rPr>
              <w:t>.</w:t>
            </w:r>
            <w:r w:rsidRPr="0060304C">
              <w:rPr>
                <w:rStyle w:val="normaltextrun"/>
                <w:rFonts w:ascii="Arial" w:hAnsi="Arial" w:cs="Arial"/>
                <w:color w:val="000000"/>
                <w:shd w:val="clear" w:color="auto" w:fill="FFFFFF"/>
              </w:rPr>
              <w:t xml:space="preserve">” The comment period runs through December 8 and </w:t>
            </w:r>
            <w:r w:rsidR="003709AB">
              <w:rPr>
                <w:rStyle w:val="normaltextrun"/>
                <w:rFonts w:ascii="Arial" w:hAnsi="Arial" w:cs="Arial"/>
                <w:color w:val="000000"/>
                <w:shd w:val="clear" w:color="auto" w:fill="FFFFFF"/>
              </w:rPr>
              <w:t>they</w:t>
            </w:r>
            <w:r w:rsidRPr="0060304C">
              <w:rPr>
                <w:rStyle w:val="normaltextrun"/>
                <w:rFonts w:ascii="Arial" w:hAnsi="Arial" w:cs="Arial"/>
                <w:color w:val="000000"/>
                <w:shd w:val="clear" w:color="auto" w:fill="FFFFFF"/>
              </w:rPr>
              <w:t xml:space="preserve"> would love to hear from you. </w:t>
            </w:r>
            <w:r w:rsidR="00CC3AC3">
              <w:rPr>
                <w:rStyle w:val="normaltextrun"/>
                <w:rFonts w:ascii="Arial" w:hAnsi="Arial" w:cs="Arial"/>
                <w:color w:val="000000"/>
                <w:shd w:val="clear" w:color="auto" w:fill="FFFFFF"/>
              </w:rPr>
              <w:t>E</w:t>
            </w:r>
            <w:r w:rsidRPr="0060304C">
              <w:rPr>
                <w:rStyle w:val="normaltextrun"/>
                <w:rFonts w:ascii="Arial" w:hAnsi="Arial" w:cs="Arial"/>
                <w:color w:val="000000"/>
                <w:shd w:val="clear" w:color="auto" w:fill="FFFFFF"/>
              </w:rPr>
              <w:t>mail comments to </w:t>
            </w:r>
            <w:hyperlink r:id="rId44" w:history="1">
              <w:r w:rsidR="00FD634C" w:rsidRPr="00643A00">
                <w:rPr>
                  <w:rStyle w:val="Hyperlink"/>
                  <w:rFonts w:ascii="Arial" w:hAnsi="Arial" w:cs="Arial"/>
                  <w:shd w:val="clear" w:color="auto" w:fill="FFFFFF"/>
                </w:rPr>
                <w:t>ethics-exposuredraft@aicpa.org</w:t>
              </w:r>
            </w:hyperlink>
            <w:r w:rsidRPr="0060304C">
              <w:rPr>
                <w:rStyle w:val="normaltextrun"/>
                <w:rFonts w:ascii="Arial" w:hAnsi="Arial" w:cs="Arial"/>
                <w:color w:val="000000"/>
                <w:shd w:val="clear" w:color="auto" w:fill="FFFFFF"/>
              </w:rPr>
              <w:t xml:space="preserve"> </w:t>
            </w:r>
            <w:r w:rsidR="00CC3AC3" w:rsidRPr="00A75572">
              <w:rPr>
                <w:rStyle w:val="normaltextrun"/>
                <w:rFonts w:ascii="Arial" w:hAnsi="Arial" w:cs="Arial"/>
                <w:color w:val="000000"/>
                <w:shd w:val="clear" w:color="auto" w:fill="FFFFFF"/>
              </w:rPr>
              <w:t>or</w:t>
            </w:r>
            <w:r w:rsidRPr="00A75572">
              <w:rPr>
                <w:rStyle w:val="normaltextrun"/>
                <w:rFonts w:ascii="Arial" w:hAnsi="Arial" w:cs="Arial"/>
                <w:color w:val="000000"/>
                <w:shd w:val="clear" w:color="auto" w:fill="FFFFFF"/>
              </w:rPr>
              <w:t> </w:t>
            </w:r>
            <w:hyperlink r:id="rId45" w:tgtFrame="_blank" w:history="1">
              <w:r w:rsidRPr="0060304C">
                <w:rPr>
                  <w:rStyle w:val="normaltextrun"/>
                  <w:rFonts w:ascii="Arial" w:hAnsi="Arial" w:cs="Arial"/>
                  <w:color w:val="0000FF"/>
                  <w:u w:val="single"/>
                  <w:shd w:val="clear" w:color="auto" w:fill="FFFFFF"/>
                </w:rPr>
                <w:t>complete this short survey</w:t>
              </w:r>
            </w:hyperlink>
            <w:r w:rsidRPr="0060304C">
              <w:rPr>
                <w:rStyle w:val="normaltextrun"/>
                <w:rFonts w:ascii="Arial" w:hAnsi="Arial" w:cs="Arial"/>
                <w:color w:val="000000"/>
                <w:shd w:val="clear" w:color="auto" w:fill="FFFFFF"/>
              </w:rPr>
              <w:t>.</w:t>
            </w:r>
            <w:r w:rsidRPr="0060304C">
              <w:rPr>
                <w:rStyle w:val="eop"/>
                <w:rFonts w:ascii="Arial" w:hAnsi="Arial" w:cs="Arial"/>
                <w:color w:val="000000"/>
                <w:shd w:val="clear" w:color="auto" w:fill="FFFFFF"/>
              </w:rPr>
              <w:t> </w:t>
            </w:r>
          </w:p>
          <w:p w14:paraId="3FDF53F5" w14:textId="6932F414" w:rsidR="008E4599" w:rsidRPr="0060304C" w:rsidRDefault="008E4599" w:rsidP="008E4599">
            <w:pPr>
              <w:widowControl/>
              <w:tabs>
                <w:tab w:val="left" w:pos="6003"/>
              </w:tabs>
              <w:autoSpaceDE/>
              <w:autoSpaceDN/>
              <w:adjustRightInd/>
              <w:spacing w:after="0" w:line="276" w:lineRule="auto"/>
              <w:ind w:right="245"/>
              <w:contextualSpacing/>
              <w:rPr>
                <w:rStyle w:val="eop"/>
                <w:rFonts w:ascii="Arial" w:hAnsi="Arial" w:cs="Arial"/>
                <w:color w:val="000000"/>
                <w:shd w:val="clear" w:color="auto" w:fill="FFFFFF"/>
              </w:rPr>
            </w:pPr>
          </w:p>
          <w:p w14:paraId="1B3A91F3" w14:textId="77777777" w:rsidR="008E4599" w:rsidRPr="0060304C" w:rsidRDefault="008E4599" w:rsidP="004B79B6">
            <w:pPr>
              <w:pStyle w:val="paragraph"/>
              <w:spacing w:before="0" w:beforeAutospacing="0" w:after="200" w:afterAutospacing="0"/>
              <w:textAlignment w:val="baseline"/>
              <w:rPr>
                <w:rFonts w:ascii="Arial" w:hAnsi="Arial" w:cs="Arial"/>
                <w:sz w:val="22"/>
                <w:szCs w:val="22"/>
              </w:rPr>
            </w:pPr>
            <w:r w:rsidRPr="0060304C">
              <w:rPr>
                <w:rStyle w:val="normaltextrun"/>
                <w:rFonts w:ascii="Arial" w:hAnsi="Arial" w:cs="Arial"/>
                <w:b/>
                <w:bCs/>
                <w:color w:val="005BBB"/>
                <w:sz w:val="22"/>
                <w:szCs w:val="22"/>
              </w:rPr>
              <w:t>New publications</w:t>
            </w:r>
            <w:r w:rsidRPr="0060304C">
              <w:rPr>
                <w:rStyle w:val="eop"/>
                <w:rFonts w:ascii="Arial" w:hAnsi="Arial" w:cs="Arial"/>
                <w:color w:val="005BBB"/>
                <w:sz w:val="22"/>
                <w:szCs w:val="22"/>
              </w:rPr>
              <w:t> </w:t>
            </w:r>
          </w:p>
          <w:p w14:paraId="30FDE37B" w14:textId="77777777" w:rsidR="008E4599" w:rsidRPr="0060304C" w:rsidRDefault="008E4599" w:rsidP="008E4599">
            <w:pPr>
              <w:pStyle w:val="paragraph"/>
              <w:spacing w:before="0" w:beforeAutospacing="0" w:after="0" w:afterAutospacing="0"/>
              <w:textAlignment w:val="baseline"/>
              <w:rPr>
                <w:rFonts w:ascii="Arial" w:hAnsi="Arial" w:cs="Arial"/>
                <w:i/>
                <w:iCs/>
                <w:sz w:val="22"/>
                <w:szCs w:val="22"/>
              </w:rPr>
            </w:pPr>
            <w:r w:rsidRPr="0060304C">
              <w:rPr>
                <w:rStyle w:val="normaltextrun"/>
                <w:rFonts w:ascii="Arial" w:hAnsi="Arial" w:cs="Arial"/>
                <w:b/>
                <w:bCs/>
                <w:i/>
                <w:iCs/>
                <w:color w:val="005BBB"/>
                <w:sz w:val="22"/>
                <w:szCs w:val="22"/>
              </w:rPr>
              <w:t>Reimagine audit quality</w:t>
            </w:r>
            <w:r w:rsidRPr="0060304C">
              <w:rPr>
                <w:rStyle w:val="eop"/>
                <w:rFonts w:ascii="Arial" w:hAnsi="Arial" w:cs="Arial"/>
                <w:i/>
                <w:iCs/>
                <w:color w:val="005BBB"/>
                <w:sz w:val="22"/>
                <w:szCs w:val="22"/>
              </w:rPr>
              <w:t> </w:t>
            </w:r>
          </w:p>
          <w:p w14:paraId="170CC09D" w14:textId="0515EF7C" w:rsidR="008E4599" w:rsidRPr="0060304C" w:rsidRDefault="008E4599" w:rsidP="008E4599">
            <w:pPr>
              <w:pStyle w:val="paragraph"/>
              <w:spacing w:before="0" w:beforeAutospacing="0" w:after="0" w:afterAutospacing="0"/>
              <w:textAlignment w:val="baseline"/>
              <w:rPr>
                <w:rFonts w:ascii="Arial" w:hAnsi="Arial" w:cs="Arial"/>
                <w:sz w:val="22"/>
                <w:szCs w:val="22"/>
              </w:rPr>
            </w:pPr>
            <w:proofErr w:type="gramStart"/>
            <w:r w:rsidRPr="0060304C">
              <w:rPr>
                <w:rStyle w:val="normaltextrun"/>
                <w:rFonts w:ascii="Arial" w:hAnsi="Arial" w:cs="Arial"/>
                <w:sz w:val="22"/>
                <w:szCs w:val="22"/>
              </w:rPr>
              <w:t>Take a look</w:t>
            </w:r>
            <w:proofErr w:type="gramEnd"/>
            <w:r w:rsidRPr="0060304C">
              <w:rPr>
                <w:rStyle w:val="normaltextrun"/>
                <w:rFonts w:ascii="Arial" w:hAnsi="Arial" w:cs="Arial"/>
                <w:sz w:val="22"/>
                <w:szCs w:val="22"/>
              </w:rPr>
              <w:t xml:space="preserve"> at recently published common deficiency reports to gain insights into audit quality for your firm. These reports </w:t>
            </w:r>
            <w:r w:rsidR="003709AB">
              <w:rPr>
                <w:rStyle w:val="normaltextrun"/>
                <w:rFonts w:ascii="Arial" w:hAnsi="Arial" w:cs="Arial"/>
                <w:sz w:val="22"/>
                <w:szCs w:val="22"/>
              </w:rPr>
              <w:t>r</w:t>
            </w:r>
            <w:r w:rsidR="003709AB" w:rsidRPr="003709AB">
              <w:rPr>
                <w:rStyle w:val="normaltextrun"/>
                <w:rFonts w:ascii="Arial" w:hAnsi="Arial" w:cs="Arial"/>
                <w:sz w:val="22"/>
                <w:szCs w:val="22"/>
              </w:rPr>
              <w:t>elate to</w:t>
            </w:r>
            <w:r w:rsidRPr="0060304C">
              <w:rPr>
                <w:rStyle w:val="normaltextrun"/>
                <w:rFonts w:ascii="Arial" w:hAnsi="Arial" w:cs="Arial"/>
                <w:sz w:val="22"/>
                <w:szCs w:val="22"/>
              </w:rPr>
              <w:t> </w:t>
            </w:r>
            <w:hyperlink r:id="rId46" w:tgtFrame="_blank" w:history="1">
              <w:r w:rsidRPr="0060304C">
                <w:rPr>
                  <w:rStyle w:val="normaltextrun"/>
                  <w:rFonts w:ascii="Arial" w:hAnsi="Arial" w:cs="Arial"/>
                  <w:color w:val="0000FF"/>
                  <w:sz w:val="22"/>
                  <w:szCs w:val="22"/>
                  <w:u w:val="single"/>
                </w:rPr>
                <w:t>employee benefit plan audits</w:t>
              </w:r>
            </w:hyperlink>
            <w:r w:rsidRPr="0060304C">
              <w:rPr>
                <w:rStyle w:val="normaltextrun"/>
                <w:rFonts w:ascii="Arial" w:hAnsi="Arial" w:cs="Arial"/>
                <w:sz w:val="22"/>
                <w:szCs w:val="22"/>
              </w:rPr>
              <w:t> and for </w:t>
            </w:r>
            <w:hyperlink r:id="rId47" w:tgtFrame="_blank" w:history="1">
              <w:r w:rsidRPr="0060304C">
                <w:rPr>
                  <w:rStyle w:val="normaltextrun"/>
                  <w:rFonts w:ascii="Arial" w:hAnsi="Arial" w:cs="Arial"/>
                  <w:color w:val="0000FF"/>
                  <w:sz w:val="22"/>
                  <w:szCs w:val="22"/>
                  <w:u w:val="single"/>
                </w:rPr>
                <w:t>government and not-for-profit audits</w:t>
              </w:r>
            </w:hyperlink>
            <w:r w:rsidRPr="0060304C">
              <w:rPr>
                <w:rStyle w:val="normaltextrun"/>
                <w:rFonts w:ascii="Arial" w:hAnsi="Arial" w:cs="Arial"/>
                <w:sz w:val="22"/>
                <w:szCs w:val="22"/>
              </w:rPr>
              <w:t>, but don’t let that limit you. Practitioners from all industries and sectors can glean helpful tips to increase audit quality.</w:t>
            </w:r>
          </w:p>
          <w:p w14:paraId="5F45F77A" w14:textId="77777777" w:rsidR="008E4599" w:rsidRPr="0060304C" w:rsidRDefault="008E4599" w:rsidP="008E4599">
            <w:pPr>
              <w:pStyle w:val="paragraph"/>
              <w:spacing w:before="0" w:beforeAutospacing="0" w:after="0" w:afterAutospacing="0"/>
              <w:ind w:left="360"/>
              <w:textAlignment w:val="baseline"/>
              <w:rPr>
                <w:rFonts w:ascii="Arial" w:hAnsi="Arial" w:cs="Arial"/>
                <w:sz w:val="22"/>
                <w:szCs w:val="22"/>
              </w:rPr>
            </w:pPr>
            <w:r w:rsidRPr="0060304C">
              <w:rPr>
                <w:rStyle w:val="eop"/>
                <w:rFonts w:ascii="Arial" w:hAnsi="Arial" w:cs="Arial"/>
                <w:sz w:val="22"/>
                <w:szCs w:val="22"/>
              </w:rPr>
              <w:t> </w:t>
            </w:r>
          </w:p>
          <w:p w14:paraId="1A33DA81" w14:textId="77777777" w:rsidR="008E4599" w:rsidRPr="0060304C" w:rsidRDefault="008E4599" w:rsidP="008E4599">
            <w:pPr>
              <w:pStyle w:val="paragraph"/>
              <w:spacing w:before="0" w:beforeAutospacing="0" w:after="0" w:afterAutospacing="0"/>
              <w:textAlignment w:val="baseline"/>
              <w:rPr>
                <w:rFonts w:ascii="Arial" w:hAnsi="Arial" w:cs="Arial"/>
                <w:i/>
                <w:iCs/>
                <w:sz w:val="22"/>
                <w:szCs w:val="22"/>
              </w:rPr>
            </w:pPr>
            <w:r w:rsidRPr="0060304C">
              <w:rPr>
                <w:rStyle w:val="normaltextrun"/>
                <w:rFonts w:ascii="Arial" w:hAnsi="Arial" w:cs="Arial"/>
                <w:b/>
                <w:bCs/>
                <w:i/>
                <w:iCs/>
                <w:color w:val="005BBB"/>
                <w:sz w:val="22"/>
                <w:szCs w:val="22"/>
              </w:rPr>
              <w:t>Independence in plain English</w:t>
            </w:r>
            <w:r w:rsidRPr="0060304C">
              <w:rPr>
                <w:rStyle w:val="eop"/>
                <w:rFonts w:ascii="Arial" w:hAnsi="Arial" w:cs="Arial"/>
                <w:i/>
                <w:iCs/>
                <w:color w:val="005BBB"/>
                <w:sz w:val="22"/>
                <w:szCs w:val="22"/>
              </w:rPr>
              <w:t> </w:t>
            </w:r>
          </w:p>
          <w:p w14:paraId="5252341F" w14:textId="5A65856E" w:rsidR="008E4599" w:rsidRPr="0060304C" w:rsidRDefault="003709AB" w:rsidP="008E4599">
            <w:pPr>
              <w:pStyle w:val="paragraph"/>
              <w:spacing w:before="0" w:beforeAutospacing="0" w:after="0" w:afterAutospacing="0"/>
              <w:textAlignment w:val="baseline"/>
              <w:rPr>
                <w:rFonts w:ascii="Arial" w:hAnsi="Arial" w:cs="Arial"/>
                <w:sz w:val="22"/>
                <w:szCs w:val="22"/>
              </w:rPr>
            </w:pPr>
            <w:r>
              <w:rPr>
                <w:rStyle w:val="normaltextrun"/>
                <w:rFonts w:ascii="Arial" w:hAnsi="Arial" w:cs="Arial"/>
                <w:sz w:val="22"/>
                <w:szCs w:val="22"/>
              </w:rPr>
              <w:t>T</w:t>
            </w:r>
            <w:r w:rsidR="008E4599" w:rsidRPr="0060304C">
              <w:rPr>
                <w:rStyle w:val="normaltextrun"/>
                <w:rFonts w:ascii="Arial" w:hAnsi="Arial" w:cs="Arial"/>
                <w:sz w:val="22"/>
                <w:szCs w:val="22"/>
              </w:rPr>
              <w:t>he </w:t>
            </w:r>
            <w:hyperlink r:id="rId48" w:tgtFrame="_blank" w:history="1">
              <w:r w:rsidR="008E4599" w:rsidRPr="0060304C">
                <w:rPr>
                  <w:rStyle w:val="normaltextrun"/>
                  <w:rFonts w:ascii="Arial" w:hAnsi="Arial" w:cs="Arial"/>
                  <w:i/>
                  <w:iCs/>
                  <w:color w:val="0000FF"/>
                  <w:sz w:val="22"/>
                  <w:szCs w:val="22"/>
                  <w:u w:val="single"/>
                </w:rPr>
                <w:t>Plain English guide to independence</w:t>
              </w:r>
            </w:hyperlink>
            <w:r w:rsidR="008E4599" w:rsidRPr="0060304C">
              <w:rPr>
                <w:rStyle w:val="normaltextrun"/>
                <w:rFonts w:ascii="Arial" w:hAnsi="Arial" w:cs="Arial"/>
                <w:sz w:val="22"/>
                <w:szCs w:val="22"/>
              </w:rPr>
              <w:t> </w:t>
            </w:r>
            <w:r w:rsidR="00CC3AC3">
              <w:rPr>
                <w:rStyle w:val="normaltextrun"/>
                <w:rFonts w:ascii="Arial" w:hAnsi="Arial" w:cs="Arial"/>
                <w:sz w:val="22"/>
                <w:szCs w:val="22"/>
              </w:rPr>
              <w:t>was</w:t>
            </w:r>
            <w:r>
              <w:rPr>
                <w:rStyle w:val="normaltextrun"/>
                <w:rFonts w:ascii="Arial" w:hAnsi="Arial" w:cs="Arial"/>
                <w:sz w:val="22"/>
                <w:szCs w:val="22"/>
              </w:rPr>
              <w:t xml:space="preserve"> updated </w:t>
            </w:r>
            <w:r w:rsidR="008E4599" w:rsidRPr="0060304C">
              <w:rPr>
                <w:rStyle w:val="normaltextrun"/>
                <w:rFonts w:ascii="Arial" w:hAnsi="Arial" w:cs="Arial"/>
                <w:sz w:val="22"/>
                <w:szCs w:val="22"/>
              </w:rPr>
              <w:t>with all the new guidance since 2017. </w:t>
            </w:r>
            <w:r w:rsidR="00CC3AC3">
              <w:rPr>
                <w:rStyle w:val="normaltextrun"/>
                <w:rFonts w:ascii="Arial" w:hAnsi="Arial" w:cs="Arial"/>
                <w:sz w:val="22"/>
                <w:szCs w:val="22"/>
              </w:rPr>
              <w:t>Access</w:t>
            </w:r>
            <w:r w:rsidR="008E4599" w:rsidRPr="0060304C">
              <w:rPr>
                <w:rStyle w:val="normaltextrun"/>
                <w:rFonts w:ascii="Arial" w:hAnsi="Arial" w:cs="Arial"/>
                <w:sz w:val="22"/>
                <w:szCs w:val="22"/>
              </w:rPr>
              <w:t xml:space="preserve"> this concise guide for a</w:t>
            </w:r>
            <w:r w:rsidR="00CC3AC3" w:rsidRPr="0060304C">
              <w:rPr>
                <w:rStyle w:val="normaltextrun"/>
                <w:rFonts w:ascii="Arial" w:hAnsi="Arial" w:cs="Arial"/>
                <w:sz w:val="22"/>
                <w:szCs w:val="22"/>
              </w:rPr>
              <w:t xml:space="preserve"> </w:t>
            </w:r>
            <w:r w:rsidR="008E4599" w:rsidRPr="0060304C">
              <w:rPr>
                <w:rStyle w:val="normaltextrun"/>
                <w:rFonts w:ascii="Arial" w:hAnsi="Arial" w:cs="Arial"/>
                <w:sz w:val="22"/>
                <w:szCs w:val="22"/>
              </w:rPr>
              <w:t>discussion of the independence rules of U.S. standards setting bodies, including the AICPA and SEC.</w:t>
            </w:r>
            <w:r w:rsidR="008E4599" w:rsidRPr="0060304C">
              <w:rPr>
                <w:rStyle w:val="eop"/>
                <w:rFonts w:ascii="Arial" w:hAnsi="Arial" w:cs="Arial"/>
                <w:sz w:val="22"/>
                <w:szCs w:val="22"/>
              </w:rPr>
              <w:t> </w:t>
            </w:r>
          </w:p>
          <w:p w14:paraId="36A65803" w14:textId="77777777" w:rsidR="008E4599" w:rsidRPr="0060304C" w:rsidRDefault="008E4599" w:rsidP="008E4599">
            <w:pPr>
              <w:pStyle w:val="paragraph"/>
              <w:spacing w:before="0" w:beforeAutospacing="0" w:after="0" w:afterAutospacing="0"/>
              <w:textAlignment w:val="baseline"/>
              <w:rPr>
                <w:rFonts w:ascii="Arial" w:hAnsi="Arial" w:cs="Arial"/>
                <w:sz w:val="22"/>
                <w:szCs w:val="22"/>
              </w:rPr>
            </w:pPr>
            <w:r w:rsidRPr="0060304C">
              <w:rPr>
                <w:rStyle w:val="eop"/>
                <w:rFonts w:ascii="Arial" w:hAnsi="Arial" w:cs="Arial"/>
                <w:sz w:val="22"/>
                <w:szCs w:val="22"/>
              </w:rPr>
              <w:t> </w:t>
            </w:r>
          </w:p>
          <w:p w14:paraId="268B4142" w14:textId="1B51910C" w:rsidR="008E4599" w:rsidRPr="0060304C" w:rsidRDefault="008E4599" w:rsidP="008E4599">
            <w:pPr>
              <w:pStyle w:val="paragraph"/>
              <w:spacing w:before="0" w:beforeAutospacing="0" w:after="0" w:afterAutospacing="0"/>
              <w:textAlignment w:val="baseline"/>
              <w:rPr>
                <w:rFonts w:ascii="Arial" w:hAnsi="Arial" w:cs="Arial"/>
                <w:i/>
                <w:iCs/>
                <w:sz w:val="22"/>
                <w:szCs w:val="22"/>
              </w:rPr>
            </w:pPr>
            <w:r w:rsidRPr="0060304C">
              <w:rPr>
                <w:rStyle w:val="normaltextrun"/>
                <w:rFonts w:ascii="Arial" w:hAnsi="Arial" w:cs="Arial"/>
                <w:b/>
                <w:bCs/>
                <w:i/>
                <w:iCs/>
                <w:color w:val="005BBB"/>
                <w:sz w:val="22"/>
                <w:szCs w:val="22"/>
              </w:rPr>
              <w:t>Implementation guidance for state and local government client affiliates</w:t>
            </w:r>
          </w:p>
          <w:p w14:paraId="47535678" w14:textId="77777777" w:rsidR="008E4599" w:rsidRPr="0060304C" w:rsidRDefault="008E4599" w:rsidP="008E4599">
            <w:pPr>
              <w:pStyle w:val="paragraph"/>
              <w:spacing w:before="0" w:beforeAutospacing="0" w:after="0" w:afterAutospacing="0"/>
              <w:textAlignment w:val="baseline"/>
              <w:rPr>
                <w:rFonts w:ascii="Arial" w:hAnsi="Arial" w:cs="Arial"/>
                <w:sz w:val="22"/>
                <w:szCs w:val="22"/>
              </w:rPr>
            </w:pPr>
            <w:proofErr w:type="gramStart"/>
            <w:r w:rsidRPr="0060304C">
              <w:rPr>
                <w:rStyle w:val="normaltextrun"/>
                <w:rFonts w:ascii="Arial" w:hAnsi="Arial" w:cs="Arial"/>
                <w:sz w:val="22"/>
                <w:szCs w:val="22"/>
              </w:rPr>
              <w:t>Take a look</w:t>
            </w:r>
            <w:proofErr w:type="gramEnd"/>
            <w:r w:rsidRPr="0060304C">
              <w:rPr>
                <w:rStyle w:val="normaltextrun"/>
                <w:rFonts w:ascii="Arial" w:hAnsi="Arial" w:cs="Arial"/>
                <w:sz w:val="22"/>
                <w:szCs w:val="22"/>
              </w:rPr>
              <w:t> at the newly released implementation guide and accompanying tools that make it easier to identify affiliates and meet independence requirements in state and local government audits: </w:t>
            </w:r>
            <w:r w:rsidRPr="0060304C">
              <w:rPr>
                <w:rStyle w:val="eop"/>
                <w:rFonts w:ascii="Arial" w:hAnsi="Arial" w:cs="Arial"/>
                <w:sz w:val="22"/>
                <w:szCs w:val="22"/>
              </w:rPr>
              <w:t> </w:t>
            </w:r>
          </w:p>
          <w:p w14:paraId="63291D19" w14:textId="77777777" w:rsidR="008E4599" w:rsidRPr="0060304C" w:rsidRDefault="00F82E1D" w:rsidP="008E4599">
            <w:pPr>
              <w:pStyle w:val="paragraph"/>
              <w:numPr>
                <w:ilvl w:val="0"/>
                <w:numId w:val="21"/>
              </w:numPr>
              <w:spacing w:before="0" w:beforeAutospacing="0" w:after="0" w:afterAutospacing="0"/>
              <w:ind w:left="360" w:firstLine="0"/>
              <w:textAlignment w:val="baseline"/>
              <w:rPr>
                <w:rFonts w:ascii="Arial" w:hAnsi="Arial" w:cs="Arial"/>
                <w:sz w:val="22"/>
                <w:szCs w:val="22"/>
              </w:rPr>
            </w:pPr>
            <w:hyperlink r:id="rId49" w:tgtFrame="_blank" w:history="1">
              <w:r w:rsidR="008E4599" w:rsidRPr="0060304C">
                <w:rPr>
                  <w:rStyle w:val="normaltextrun"/>
                  <w:rFonts w:ascii="Arial" w:hAnsi="Arial" w:cs="Arial"/>
                  <w:color w:val="0000FF"/>
                  <w:sz w:val="22"/>
                  <w:szCs w:val="22"/>
                  <w:u w:val="single"/>
                </w:rPr>
                <w:t>Implementation guide: </w:t>
              </w:r>
              <w:r w:rsidR="008E4599" w:rsidRPr="0060304C">
                <w:rPr>
                  <w:rStyle w:val="normaltextrun"/>
                  <w:rFonts w:ascii="Arial" w:hAnsi="Arial" w:cs="Arial"/>
                  <w:i/>
                  <w:iCs/>
                  <w:color w:val="0000FF"/>
                  <w:sz w:val="22"/>
                  <w:szCs w:val="22"/>
                  <w:u w:val="single"/>
                </w:rPr>
                <w:t>State and local government client affiliates</w:t>
              </w:r>
              <w:r w:rsidR="008E4599" w:rsidRPr="0060304C">
                <w:rPr>
                  <w:rStyle w:val="normaltextrun"/>
                  <w:rFonts w:ascii="Arial" w:hAnsi="Arial" w:cs="Arial"/>
                  <w:color w:val="0000FF"/>
                  <w:sz w:val="22"/>
                  <w:szCs w:val="22"/>
                  <w:u w:val="single"/>
                </w:rPr>
                <w:t> </w:t>
              </w:r>
            </w:hyperlink>
            <w:r w:rsidR="008E4599" w:rsidRPr="0060304C">
              <w:rPr>
                <w:rStyle w:val="eop"/>
                <w:rFonts w:ascii="Arial" w:hAnsi="Arial" w:cs="Arial"/>
                <w:sz w:val="22"/>
                <w:szCs w:val="22"/>
              </w:rPr>
              <w:t> </w:t>
            </w:r>
          </w:p>
          <w:p w14:paraId="3B4E2A50" w14:textId="77777777" w:rsidR="008E4599" w:rsidRPr="0060304C" w:rsidRDefault="00F82E1D" w:rsidP="008E4599">
            <w:pPr>
              <w:pStyle w:val="paragraph"/>
              <w:numPr>
                <w:ilvl w:val="0"/>
                <w:numId w:val="22"/>
              </w:numPr>
              <w:spacing w:before="0" w:beforeAutospacing="0" w:after="0" w:afterAutospacing="0"/>
              <w:ind w:left="360" w:firstLine="0"/>
              <w:textAlignment w:val="baseline"/>
              <w:rPr>
                <w:rFonts w:ascii="Arial" w:hAnsi="Arial" w:cs="Arial"/>
                <w:sz w:val="22"/>
                <w:szCs w:val="22"/>
              </w:rPr>
            </w:pPr>
            <w:hyperlink r:id="rId50" w:tgtFrame="_blank" w:history="1">
              <w:r w:rsidR="008E4599" w:rsidRPr="0060304C">
                <w:rPr>
                  <w:rStyle w:val="normaltextrun"/>
                  <w:rFonts w:ascii="Arial" w:hAnsi="Arial" w:cs="Arial"/>
                  <w:color w:val="0000FF"/>
                  <w:sz w:val="22"/>
                  <w:szCs w:val="22"/>
                  <w:u w:val="single"/>
                </w:rPr>
                <w:t>Entity affiliate evaluator</w:t>
              </w:r>
            </w:hyperlink>
            <w:r w:rsidR="008E4599" w:rsidRPr="0060304C">
              <w:rPr>
                <w:rStyle w:val="eop"/>
                <w:rFonts w:ascii="Arial" w:hAnsi="Arial" w:cs="Arial"/>
                <w:sz w:val="22"/>
                <w:szCs w:val="22"/>
              </w:rPr>
              <w:t> </w:t>
            </w:r>
          </w:p>
          <w:p w14:paraId="40BA1DEC" w14:textId="77777777" w:rsidR="008E4599" w:rsidRPr="0060304C" w:rsidRDefault="00F82E1D" w:rsidP="008E4599">
            <w:pPr>
              <w:pStyle w:val="paragraph"/>
              <w:numPr>
                <w:ilvl w:val="0"/>
                <w:numId w:val="22"/>
              </w:numPr>
              <w:spacing w:before="0" w:beforeAutospacing="0" w:after="0" w:afterAutospacing="0"/>
              <w:ind w:left="360" w:firstLine="0"/>
              <w:textAlignment w:val="baseline"/>
              <w:rPr>
                <w:rFonts w:ascii="Arial" w:hAnsi="Arial" w:cs="Arial"/>
                <w:sz w:val="22"/>
                <w:szCs w:val="22"/>
              </w:rPr>
            </w:pPr>
            <w:hyperlink r:id="rId51" w:tgtFrame="_blank" w:history="1">
              <w:r w:rsidR="008E4599" w:rsidRPr="0060304C">
                <w:rPr>
                  <w:rStyle w:val="normaltextrun"/>
                  <w:rFonts w:ascii="Arial" w:hAnsi="Arial" w:cs="Arial"/>
                  <w:color w:val="0000FF"/>
                  <w:sz w:val="22"/>
                  <w:szCs w:val="22"/>
                  <w:u w:val="single"/>
                </w:rPr>
                <w:t>Investment affiliate evaluator</w:t>
              </w:r>
            </w:hyperlink>
            <w:r w:rsidR="008E4599" w:rsidRPr="0060304C">
              <w:rPr>
                <w:rStyle w:val="eop"/>
                <w:rFonts w:ascii="Arial" w:hAnsi="Arial" w:cs="Arial"/>
                <w:sz w:val="22"/>
                <w:szCs w:val="22"/>
              </w:rPr>
              <w:t> </w:t>
            </w:r>
          </w:p>
          <w:p w14:paraId="3F1ABEED" w14:textId="77777777" w:rsidR="008E4599" w:rsidRPr="0060304C" w:rsidRDefault="00F82E1D" w:rsidP="008E4599">
            <w:pPr>
              <w:pStyle w:val="paragraph"/>
              <w:numPr>
                <w:ilvl w:val="0"/>
                <w:numId w:val="22"/>
              </w:numPr>
              <w:spacing w:before="0" w:beforeAutospacing="0" w:after="0" w:afterAutospacing="0"/>
              <w:ind w:left="360" w:firstLine="0"/>
              <w:textAlignment w:val="baseline"/>
              <w:rPr>
                <w:rFonts w:ascii="Arial" w:hAnsi="Arial" w:cs="Arial"/>
                <w:sz w:val="22"/>
                <w:szCs w:val="22"/>
              </w:rPr>
            </w:pPr>
            <w:hyperlink r:id="rId52" w:tgtFrame="_blank" w:history="1">
              <w:r w:rsidR="008E4599" w:rsidRPr="0060304C">
                <w:rPr>
                  <w:rStyle w:val="normaltextrun"/>
                  <w:rFonts w:ascii="Arial" w:hAnsi="Arial" w:cs="Arial"/>
                  <w:color w:val="0000FF"/>
                  <w:sz w:val="22"/>
                  <w:szCs w:val="22"/>
                  <w:u w:val="single"/>
                </w:rPr>
                <w:t>Interactive state and local government affiliate matrix</w:t>
              </w:r>
            </w:hyperlink>
            <w:r w:rsidR="008E4599" w:rsidRPr="0060304C">
              <w:rPr>
                <w:rStyle w:val="eop"/>
                <w:rFonts w:ascii="Arial" w:hAnsi="Arial" w:cs="Arial"/>
                <w:sz w:val="22"/>
                <w:szCs w:val="22"/>
              </w:rPr>
              <w:t> </w:t>
            </w:r>
          </w:p>
          <w:p w14:paraId="6D287EBB" w14:textId="77777777" w:rsidR="00FD634C" w:rsidRDefault="00FD634C" w:rsidP="008E4599">
            <w:pPr>
              <w:pStyle w:val="paragraph"/>
              <w:spacing w:before="0" w:beforeAutospacing="0" w:after="0" w:afterAutospacing="0"/>
              <w:textAlignment w:val="baseline"/>
              <w:rPr>
                <w:rStyle w:val="normaltextrun"/>
                <w:rFonts w:ascii="Arial" w:hAnsi="Arial" w:cs="Arial"/>
                <w:sz w:val="22"/>
                <w:szCs w:val="22"/>
              </w:rPr>
            </w:pPr>
          </w:p>
          <w:p w14:paraId="001B5BEC" w14:textId="07A76D17" w:rsidR="008E4599" w:rsidRPr="0060304C" w:rsidRDefault="008E4599" w:rsidP="008E4599">
            <w:pPr>
              <w:pStyle w:val="paragraph"/>
              <w:spacing w:before="0" w:beforeAutospacing="0" w:after="0" w:afterAutospacing="0"/>
              <w:textAlignment w:val="baseline"/>
              <w:rPr>
                <w:rFonts w:ascii="Arial" w:hAnsi="Arial" w:cs="Arial"/>
                <w:sz w:val="22"/>
                <w:szCs w:val="22"/>
              </w:rPr>
            </w:pPr>
            <w:r w:rsidRPr="0060304C">
              <w:rPr>
                <w:rStyle w:val="normaltextrun"/>
                <w:rFonts w:ascii="Arial" w:hAnsi="Arial" w:cs="Arial"/>
                <w:sz w:val="22"/>
                <w:szCs w:val="22"/>
              </w:rPr>
              <w:t>These aids will help you understand which entities are affiliates of your state and local government audit client. If you identify an affiliate, you’ll need to be independent of that entity. It can also help you to recognize circumstances or relationships where you might need to consult the “Conceptual Framework for Independence” (ET sec. 1.210.010). </w:t>
            </w:r>
            <w:r w:rsidRPr="0060304C">
              <w:rPr>
                <w:rStyle w:val="eop"/>
                <w:rFonts w:ascii="Arial" w:hAnsi="Arial" w:cs="Arial"/>
                <w:sz w:val="22"/>
                <w:szCs w:val="22"/>
              </w:rPr>
              <w:t> </w:t>
            </w:r>
          </w:p>
          <w:p w14:paraId="63181157" w14:textId="77777777" w:rsidR="008E4599" w:rsidRPr="0060304C" w:rsidRDefault="008E4599" w:rsidP="008E4599">
            <w:pPr>
              <w:widowControl/>
              <w:tabs>
                <w:tab w:val="left" w:pos="6003"/>
              </w:tabs>
              <w:autoSpaceDE/>
              <w:autoSpaceDN/>
              <w:adjustRightInd/>
              <w:spacing w:after="0" w:line="276" w:lineRule="auto"/>
              <w:ind w:right="245"/>
              <w:contextualSpacing/>
              <w:rPr>
                <w:rStyle w:val="eop"/>
                <w:rFonts w:ascii="Arial" w:hAnsi="Arial" w:cs="Arial"/>
                <w:color w:val="000000"/>
                <w:shd w:val="clear" w:color="auto" w:fill="FFFFFF"/>
              </w:rPr>
            </w:pPr>
          </w:p>
          <w:p w14:paraId="75A4C241" w14:textId="77777777" w:rsidR="008E4599" w:rsidRPr="0060304C" w:rsidRDefault="008E4599" w:rsidP="004B79B6">
            <w:pPr>
              <w:widowControl/>
              <w:autoSpaceDE/>
              <w:autoSpaceDN/>
              <w:adjustRightInd/>
              <w:textAlignment w:val="baseline"/>
              <w:rPr>
                <w:rFonts w:ascii="Arial" w:hAnsi="Arial" w:cs="Arial"/>
              </w:rPr>
            </w:pPr>
            <w:r w:rsidRPr="0060304C">
              <w:rPr>
                <w:rFonts w:ascii="Arial" w:hAnsi="Arial" w:cs="Arial"/>
                <w:b/>
                <w:bCs/>
                <w:color w:val="005BBB"/>
              </w:rPr>
              <w:t>Ethically Speaking podcast</w:t>
            </w:r>
            <w:r w:rsidRPr="0060304C">
              <w:rPr>
                <w:rFonts w:ascii="Arial" w:hAnsi="Arial" w:cs="Arial"/>
                <w:color w:val="005BBB"/>
              </w:rPr>
              <w:t> </w:t>
            </w:r>
          </w:p>
          <w:p w14:paraId="4CBD392A" w14:textId="0DCB07C8" w:rsidR="008E4599" w:rsidRPr="0060304C" w:rsidRDefault="008E4599" w:rsidP="008E4599">
            <w:pPr>
              <w:widowControl/>
              <w:autoSpaceDE/>
              <w:autoSpaceDN/>
              <w:adjustRightInd/>
              <w:spacing w:after="0"/>
              <w:textAlignment w:val="baseline"/>
              <w:rPr>
                <w:rFonts w:ascii="Arial" w:hAnsi="Arial" w:cs="Arial"/>
              </w:rPr>
            </w:pPr>
            <w:r w:rsidRPr="0060304C">
              <w:rPr>
                <w:rFonts w:ascii="Arial" w:hAnsi="Arial" w:cs="Arial"/>
              </w:rPr>
              <w:t>Since the spring, </w:t>
            </w:r>
            <w:hyperlink r:id="rId53" w:tgtFrame="_blank" w:history="1">
              <w:r w:rsidRPr="0060304C">
                <w:rPr>
                  <w:rFonts w:ascii="Arial" w:hAnsi="Arial" w:cs="Arial"/>
                  <w:color w:val="0000FF"/>
                  <w:u w:val="single"/>
                </w:rPr>
                <w:t>six episodes of </w:t>
              </w:r>
              <w:r w:rsidRPr="0060304C">
                <w:rPr>
                  <w:rFonts w:ascii="Arial" w:hAnsi="Arial" w:cs="Arial"/>
                  <w:i/>
                  <w:iCs/>
                  <w:color w:val="0000FF"/>
                  <w:u w:val="single"/>
                </w:rPr>
                <w:t>Ethically Speaking</w:t>
              </w:r>
            </w:hyperlink>
            <w:r w:rsidR="003709AB" w:rsidRPr="003709AB">
              <w:rPr>
                <w:rFonts w:ascii="Arial" w:hAnsi="Arial" w:cs="Arial"/>
                <w:color w:val="0000FF"/>
              </w:rPr>
              <w:t xml:space="preserve"> </w:t>
            </w:r>
            <w:r w:rsidR="003709AB">
              <w:rPr>
                <w:rFonts w:ascii="Arial" w:hAnsi="Arial" w:cs="Arial"/>
              </w:rPr>
              <w:t>have been published:</w:t>
            </w:r>
          </w:p>
          <w:p w14:paraId="1246DC59" w14:textId="77777777" w:rsidR="008E4599" w:rsidRPr="0060304C" w:rsidRDefault="008E4599" w:rsidP="008E4599">
            <w:pPr>
              <w:widowControl/>
              <w:numPr>
                <w:ilvl w:val="0"/>
                <w:numId w:val="19"/>
              </w:numPr>
              <w:autoSpaceDE/>
              <w:autoSpaceDN/>
              <w:adjustRightInd/>
              <w:spacing w:after="0"/>
              <w:ind w:left="360" w:firstLine="0"/>
              <w:textAlignment w:val="baseline"/>
              <w:rPr>
                <w:rFonts w:ascii="Arial" w:hAnsi="Arial" w:cs="Arial"/>
              </w:rPr>
            </w:pPr>
            <w:r w:rsidRPr="0060304C">
              <w:rPr>
                <w:rFonts w:ascii="Arial" w:hAnsi="Arial" w:cs="Arial"/>
              </w:rPr>
              <w:t>Two episodes on IESBA </w:t>
            </w:r>
          </w:p>
          <w:p w14:paraId="437FFEE0" w14:textId="7F0C1693" w:rsidR="008E4599" w:rsidRPr="0060304C" w:rsidRDefault="008E4599" w:rsidP="008E4599">
            <w:pPr>
              <w:widowControl/>
              <w:numPr>
                <w:ilvl w:val="0"/>
                <w:numId w:val="19"/>
              </w:numPr>
              <w:autoSpaceDE/>
              <w:autoSpaceDN/>
              <w:adjustRightInd/>
              <w:spacing w:after="0"/>
              <w:ind w:left="360" w:firstLine="0"/>
              <w:textAlignment w:val="baseline"/>
              <w:rPr>
                <w:rFonts w:ascii="Arial" w:hAnsi="Arial" w:cs="Arial"/>
              </w:rPr>
            </w:pPr>
            <w:r w:rsidRPr="0060304C">
              <w:rPr>
                <w:rFonts w:ascii="Arial" w:hAnsi="Arial" w:cs="Arial"/>
              </w:rPr>
              <w:t xml:space="preserve">PEEC’s </w:t>
            </w:r>
            <w:r w:rsidR="00FD634C">
              <w:rPr>
                <w:rFonts w:ascii="Arial" w:hAnsi="Arial" w:cs="Arial"/>
              </w:rPr>
              <w:t>third</w:t>
            </w:r>
            <w:r w:rsidRPr="0060304C">
              <w:rPr>
                <w:rFonts w:ascii="Arial" w:hAnsi="Arial" w:cs="Arial"/>
              </w:rPr>
              <w:t> quarter meeting update </w:t>
            </w:r>
          </w:p>
          <w:p w14:paraId="2061A83A" w14:textId="77777777" w:rsidR="008E4599" w:rsidRPr="0060304C" w:rsidRDefault="008E4599" w:rsidP="008E4599">
            <w:pPr>
              <w:widowControl/>
              <w:numPr>
                <w:ilvl w:val="0"/>
                <w:numId w:val="20"/>
              </w:numPr>
              <w:autoSpaceDE/>
              <w:autoSpaceDN/>
              <w:adjustRightInd/>
              <w:spacing w:after="0"/>
              <w:ind w:left="360" w:firstLine="0"/>
              <w:textAlignment w:val="baseline"/>
              <w:rPr>
                <w:rFonts w:ascii="Arial" w:hAnsi="Arial" w:cs="Arial"/>
              </w:rPr>
            </w:pPr>
            <w:r w:rsidRPr="0060304C">
              <w:rPr>
                <w:rFonts w:ascii="Arial" w:hAnsi="Arial" w:cs="Arial"/>
              </w:rPr>
              <w:t>Two episodes on Paycheck Protection Program forgiveness engagements </w:t>
            </w:r>
          </w:p>
          <w:p w14:paraId="4F725B5C" w14:textId="77777777" w:rsidR="008E4599" w:rsidRDefault="008E4599" w:rsidP="0011701C">
            <w:pPr>
              <w:widowControl/>
              <w:numPr>
                <w:ilvl w:val="0"/>
                <w:numId w:val="20"/>
              </w:numPr>
              <w:autoSpaceDE/>
              <w:autoSpaceDN/>
              <w:adjustRightInd/>
              <w:spacing w:after="0"/>
              <w:ind w:left="360" w:firstLine="0"/>
              <w:textAlignment w:val="baseline"/>
              <w:rPr>
                <w:rFonts w:ascii="Arial" w:hAnsi="Arial" w:cs="Arial"/>
              </w:rPr>
            </w:pPr>
            <w:r w:rsidRPr="0060304C">
              <w:rPr>
                <w:rFonts w:ascii="Arial" w:hAnsi="Arial" w:cs="Arial"/>
              </w:rPr>
              <w:t>An episode on the newly updated </w:t>
            </w:r>
            <w:r w:rsidRPr="0060304C">
              <w:rPr>
                <w:rFonts w:ascii="Arial" w:hAnsi="Arial" w:cs="Arial"/>
                <w:i/>
                <w:iCs/>
              </w:rPr>
              <w:t>Plain English Guide to Independence</w:t>
            </w:r>
            <w:r w:rsidRPr="0060304C">
              <w:rPr>
                <w:rFonts w:ascii="Arial" w:hAnsi="Arial" w:cs="Arial"/>
              </w:rPr>
              <w:t> </w:t>
            </w:r>
          </w:p>
          <w:p w14:paraId="19BAFF51" w14:textId="77777777" w:rsidR="0060304C" w:rsidRDefault="0060304C" w:rsidP="0060304C">
            <w:pPr>
              <w:widowControl/>
              <w:autoSpaceDE/>
              <w:autoSpaceDN/>
              <w:adjustRightInd/>
              <w:spacing w:after="0"/>
              <w:textAlignment w:val="baseline"/>
              <w:rPr>
                <w:rFonts w:ascii="Arial" w:hAnsi="Arial" w:cs="Arial"/>
              </w:rPr>
            </w:pPr>
          </w:p>
          <w:p w14:paraId="3D8D2D83" w14:textId="1FC060C2" w:rsidR="00922F1A" w:rsidRPr="00922F1A" w:rsidRDefault="00922F1A" w:rsidP="004B79B6">
            <w:pPr>
              <w:widowControl/>
              <w:autoSpaceDE/>
              <w:autoSpaceDN/>
              <w:adjustRightInd/>
              <w:textAlignment w:val="baseline"/>
              <w:rPr>
                <w:rFonts w:ascii="Arial" w:hAnsi="Arial" w:cs="Arial"/>
                <w:b/>
                <w:bCs/>
                <w:color w:val="005BBB"/>
              </w:rPr>
            </w:pPr>
            <w:r>
              <w:rPr>
                <w:rFonts w:ascii="Arial" w:hAnsi="Arial" w:cs="Arial"/>
                <w:b/>
                <w:bCs/>
                <w:color w:val="005BBB"/>
              </w:rPr>
              <w:t>First</w:t>
            </w:r>
            <w:r w:rsidRPr="00922F1A">
              <w:rPr>
                <w:rFonts w:ascii="Arial" w:hAnsi="Arial" w:cs="Arial"/>
                <w:b/>
                <w:bCs/>
                <w:color w:val="005BBB"/>
              </w:rPr>
              <w:t xml:space="preserve"> quarter PEEC meeting </w:t>
            </w:r>
          </w:p>
          <w:p w14:paraId="77B850C9" w14:textId="76716C7C" w:rsidR="007D79BA" w:rsidRPr="0060304C" w:rsidRDefault="00922F1A" w:rsidP="007D79BA">
            <w:pPr>
              <w:widowControl/>
              <w:autoSpaceDE/>
              <w:autoSpaceDN/>
              <w:adjustRightInd/>
              <w:spacing w:after="0"/>
              <w:textAlignment w:val="baseline"/>
              <w:rPr>
                <w:rFonts w:ascii="Arial" w:hAnsi="Arial" w:cs="Arial"/>
              </w:rPr>
            </w:pPr>
            <w:r w:rsidRPr="00922F1A">
              <w:rPr>
                <w:rFonts w:ascii="Arial" w:hAnsi="Arial" w:cs="Arial"/>
              </w:rPr>
              <w:t xml:space="preserve">PEEC’s next meeting is </w:t>
            </w:r>
            <w:r>
              <w:rPr>
                <w:rFonts w:ascii="Arial" w:hAnsi="Arial" w:cs="Arial"/>
              </w:rPr>
              <w:t>February 9, 2021</w:t>
            </w:r>
            <w:r w:rsidRPr="00922F1A">
              <w:rPr>
                <w:rFonts w:ascii="Arial" w:hAnsi="Arial" w:cs="Arial"/>
              </w:rPr>
              <w:t xml:space="preserve">. PEEC meetings are open to the public and we encourage you to attend. Register to observe at </w:t>
            </w:r>
            <w:hyperlink r:id="rId54" w:history="1">
              <w:r w:rsidR="00FD634C" w:rsidRPr="00643A00">
                <w:rPr>
                  <w:rStyle w:val="Hyperlink"/>
                  <w:rFonts w:ascii="Arial" w:hAnsi="Arial" w:cs="Arial"/>
                </w:rPr>
                <w:t>aicpa.org/</w:t>
              </w:r>
              <w:proofErr w:type="spellStart"/>
              <w:r w:rsidR="00FD634C" w:rsidRPr="00643A00">
                <w:rPr>
                  <w:rStyle w:val="Hyperlink"/>
                  <w:rFonts w:ascii="Arial" w:hAnsi="Arial" w:cs="Arial"/>
                </w:rPr>
                <w:t>PEECmeeting</w:t>
              </w:r>
              <w:proofErr w:type="spellEnd"/>
            </w:hyperlink>
            <w:r w:rsidR="00FD634C">
              <w:rPr>
                <w:rFonts w:ascii="Arial" w:hAnsi="Arial" w:cs="Arial"/>
              </w:rPr>
              <w:t>.</w:t>
            </w:r>
          </w:p>
        </w:tc>
      </w:tr>
      <w:tr w:rsidR="008E4599" w:rsidRPr="00A41C29" w14:paraId="5BB66D4D" w14:textId="77777777" w:rsidTr="00526201">
        <w:trPr>
          <w:trHeight w:val="40"/>
        </w:trPr>
        <w:tc>
          <w:tcPr>
            <w:tcW w:w="5000" w:type="pct"/>
            <w:shd w:val="clear" w:color="auto" w:fill="005BBB"/>
            <w:tcMar>
              <w:right w:w="216" w:type="dxa"/>
            </w:tcMar>
          </w:tcPr>
          <w:p w14:paraId="22EF91BB" w14:textId="77777777" w:rsidR="008E4599" w:rsidRPr="00A41C29" w:rsidRDefault="008E4599" w:rsidP="00526201">
            <w:pPr>
              <w:pStyle w:val="Heading1"/>
              <w:tabs>
                <w:tab w:val="left" w:pos="601"/>
              </w:tabs>
              <w:spacing w:before="0" w:after="0"/>
              <w:jc w:val="both"/>
              <w:rPr>
                <w:rFonts w:ascii="Arial" w:hAnsi="Arial" w:cs="Arial"/>
                <w:caps w:val="0"/>
                <w:color w:val="FFFFFF" w:themeColor="background1"/>
                <w:sz w:val="36"/>
                <w:szCs w:val="36"/>
              </w:rPr>
            </w:pPr>
            <w:r>
              <w:rPr>
                <w:rFonts w:asciiTheme="minorHAnsi" w:hAnsiTheme="minorHAnsi" w:cs="Georgia"/>
                <w:b w:val="0"/>
                <w:bCs w:val="0"/>
                <w:caps w:val="0"/>
                <w:color w:val="auto"/>
                <w:sz w:val="22"/>
                <w:szCs w:val="22"/>
              </w:rPr>
              <w:br w:type="page"/>
            </w:r>
            <w:r>
              <w:br w:type="page"/>
            </w:r>
            <w:r w:rsidRPr="001A680D">
              <w:rPr>
                <w:rFonts w:ascii="Calibri Light" w:hAnsi="Calibri Light" w:cs="Georgia"/>
                <w:bCs w:val="0"/>
                <w:color w:val="FFFFFF" w:themeColor="background1"/>
                <w:sz w:val="40"/>
                <w:szCs w:val="22"/>
              </w:rPr>
              <w:br w:type="page"/>
            </w:r>
          </w:p>
        </w:tc>
      </w:tr>
    </w:tbl>
    <w:p w14:paraId="37E9D45E" w14:textId="4710FC11" w:rsidR="008E4599" w:rsidRPr="008E4599" w:rsidRDefault="008E4599" w:rsidP="00CC3AC3"/>
    <w:sectPr w:rsidR="008E4599" w:rsidRPr="008E4599" w:rsidSect="007E4EC0">
      <w:pgSz w:w="12240" w:h="15840" w:code="1"/>
      <w:pgMar w:top="720" w:right="720" w:bottom="720" w:left="720" w:header="720" w:footer="432"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BD27F0" w14:textId="77777777" w:rsidR="00574441" w:rsidRDefault="00574441" w:rsidP="00C03D04">
      <w:r>
        <w:separator/>
      </w:r>
    </w:p>
  </w:endnote>
  <w:endnote w:type="continuationSeparator" w:id="0">
    <w:p w14:paraId="24B9A33C" w14:textId="77777777" w:rsidR="00574441" w:rsidRDefault="00574441" w:rsidP="00C03D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E1000AEF" w:usb1="5000A1FF" w:usb2="00000000" w:usb3="00000000" w:csb0="000001B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8CEA59" w14:textId="77777777" w:rsidR="00836BEA" w:rsidRDefault="00836B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63DE4F" w14:textId="3AB5FC63" w:rsidR="00AB5A4F" w:rsidRPr="000B7C55" w:rsidRDefault="00136AD5" w:rsidP="00836BEA">
    <w:pPr>
      <w:pStyle w:val="Footer"/>
      <w:jc w:val="right"/>
      <w:rPr>
        <w:rFonts w:ascii="Arial" w:hAnsi="Arial" w:cs="Arial"/>
        <w:color w:val="005BBB"/>
      </w:rPr>
    </w:pPr>
    <w:r>
      <w:rPr>
        <w:rFonts w:ascii="Arial" w:hAnsi="Arial" w:cs="Arial"/>
        <w:color w:val="005BBB"/>
      </w:rPr>
      <w:t>Fall</w:t>
    </w:r>
    <w:r w:rsidR="00486D70">
      <w:rPr>
        <w:rFonts w:ascii="Arial" w:hAnsi="Arial" w:cs="Arial"/>
        <w:color w:val="005BBB"/>
      </w:rPr>
      <w:t xml:space="preserve"> 2020</w:t>
    </w:r>
    <w:r w:rsidR="00AB5A4F" w:rsidRPr="000B7C55">
      <w:rPr>
        <w:rFonts w:ascii="Arial" w:hAnsi="Arial" w:cs="Arial"/>
        <w:color w:val="005BBB"/>
      </w:rPr>
      <w:t xml:space="preserve"> </w:t>
    </w:r>
    <w:r w:rsidR="00DB21F5" w:rsidRPr="000B7C55">
      <w:rPr>
        <w:rFonts w:ascii="Arial" w:hAnsi="Arial" w:cs="Arial"/>
        <w:color w:val="005BBB"/>
      </w:rPr>
      <w:t>E</w:t>
    </w:r>
    <w:r w:rsidR="00AB5A4F" w:rsidRPr="000B7C55">
      <w:rPr>
        <w:rFonts w:ascii="Arial" w:hAnsi="Arial" w:cs="Arial"/>
        <w:color w:val="005BBB"/>
      </w:rPr>
      <w:t>dition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6ABAA4" w14:textId="77777777" w:rsidR="00AB5A4F" w:rsidRPr="00AB5A4F" w:rsidRDefault="00AB5A4F" w:rsidP="00AB5A4F">
    <w:pPr>
      <w:pStyle w:val="Footer"/>
      <w:jc w:val="right"/>
      <w:rPr>
        <w:color w:val="7030A0"/>
      </w:rPr>
    </w:pPr>
    <w:r w:rsidRPr="00AB5A4F">
      <w:rPr>
        <w:color w:val="7030A0"/>
      </w:rPr>
      <w:t>Fall 2019 edition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7DEE13" w14:textId="77777777" w:rsidR="00574441" w:rsidRDefault="00574441" w:rsidP="00C03D04">
      <w:r>
        <w:separator/>
      </w:r>
    </w:p>
  </w:footnote>
  <w:footnote w:type="continuationSeparator" w:id="0">
    <w:p w14:paraId="05CA8818" w14:textId="77777777" w:rsidR="00574441" w:rsidRDefault="00574441" w:rsidP="00C03D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CC6B9D" w14:textId="77777777" w:rsidR="00836BEA" w:rsidRDefault="00836B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6E2923" w14:textId="77777777" w:rsidR="00836BEA" w:rsidRDefault="00836BE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C60097" w14:textId="77777777" w:rsidR="00836BEA" w:rsidRDefault="00836B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D33CD2"/>
    <w:multiLevelType w:val="hybridMultilevel"/>
    <w:tmpl w:val="E482E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1C7E85"/>
    <w:multiLevelType w:val="multilevel"/>
    <w:tmpl w:val="114AC90A"/>
    <w:lvl w:ilvl="0">
      <w:start w:val="1"/>
      <w:numFmt w:val="bullet"/>
      <w:lvlText w:val=""/>
      <w:lvlJc w:val="left"/>
      <w:pPr>
        <w:tabs>
          <w:tab w:val="num" w:pos="1488"/>
        </w:tabs>
        <w:ind w:left="1488" w:hanging="360"/>
      </w:pPr>
      <w:rPr>
        <w:rFonts w:ascii="Symbol" w:hAnsi="Symbol" w:hint="default"/>
        <w:sz w:val="20"/>
      </w:rPr>
    </w:lvl>
    <w:lvl w:ilvl="1">
      <w:start w:val="1"/>
      <w:numFmt w:val="bullet"/>
      <w:lvlText w:val="o"/>
      <w:lvlJc w:val="left"/>
      <w:pPr>
        <w:tabs>
          <w:tab w:val="num" w:pos="2208"/>
        </w:tabs>
        <w:ind w:left="2208" w:hanging="360"/>
      </w:pPr>
      <w:rPr>
        <w:rFonts w:ascii="Courier New" w:hAnsi="Courier New" w:cs="Times New Roman" w:hint="default"/>
        <w:sz w:val="20"/>
      </w:rPr>
    </w:lvl>
    <w:lvl w:ilvl="2">
      <w:start w:val="1"/>
      <w:numFmt w:val="bullet"/>
      <w:lvlText w:val=""/>
      <w:lvlJc w:val="left"/>
      <w:pPr>
        <w:tabs>
          <w:tab w:val="num" w:pos="2928"/>
        </w:tabs>
        <w:ind w:left="2928" w:hanging="360"/>
      </w:pPr>
      <w:rPr>
        <w:rFonts w:ascii="Wingdings" w:hAnsi="Wingdings" w:hint="default"/>
        <w:sz w:val="20"/>
      </w:rPr>
    </w:lvl>
    <w:lvl w:ilvl="3">
      <w:start w:val="1"/>
      <w:numFmt w:val="bullet"/>
      <w:lvlText w:val=""/>
      <w:lvlJc w:val="left"/>
      <w:pPr>
        <w:tabs>
          <w:tab w:val="num" w:pos="3648"/>
        </w:tabs>
        <w:ind w:left="3648" w:hanging="360"/>
      </w:pPr>
      <w:rPr>
        <w:rFonts w:ascii="Wingdings" w:hAnsi="Wingdings" w:hint="default"/>
        <w:sz w:val="20"/>
      </w:rPr>
    </w:lvl>
    <w:lvl w:ilvl="4">
      <w:start w:val="1"/>
      <w:numFmt w:val="bullet"/>
      <w:lvlText w:val=""/>
      <w:lvlJc w:val="left"/>
      <w:pPr>
        <w:tabs>
          <w:tab w:val="num" w:pos="4368"/>
        </w:tabs>
        <w:ind w:left="4368" w:hanging="360"/>
      </w:pPr>
      <w:rPr>
        <w:rFonts w:ascii="Wingdings" w:hAnsi="Wingdings" w:hint="default"/>
        <w:sz w:val="20"/>
      </w:rPr>
    </w:lvl>
    <w:lvl w:ilvl="5">
      <w:start w:val="1"/>
      <w:numFmt w:val="bullet"/>
      <w:lvlText w:val=""/>
      <w:lvlJc w:val="left"/>
      <w:pPr>
        <w:tabs>
          <w:tab w:val="num" w:pos="5088"/>
        </w:tabs>
        <w:ind w:left="5088" w:hanging="360"/>
      </w:pPr>
      <w:rPr>
        <w:rFonts w:ascii="Wingdings" w:hAnsi="Wingdings" w:hint="default"/>
        <w:sz w:val="20"/>
      </w:rPr>
    </w:lvl>
    <w:lvl w:ilvl="6">
      <w:start w:val="1"/>
      <w:numFmt w:val="bullet"/>
      <w:lvlText w:val=""/>
      <w:lvlJc w:val="left"/>
      <w:pPr>
        <w:tabs>
          <w:tab w:val="num" w:pos="5808"/>
        </w:tabs>
        <w:ind w:left="5808" w:hanging="360"/>
      </w:pPr>
      <w:rPr>
        <w:rFonts w:ascii="Wingdings" w:hAnsi="Wingdings" w:hint="default"/>
        <w:sz w:val="20"/>
      </w:rPr>
    </w:lvl>
    <w:lvl w:ilvl="7">
      <w:start w:val="1"/>
      <w:numFmt w:val="bullet"/>
      <w:lvlText w:val=""/>
      <w:lvlJc w:val="left"/>
      <w:pPr>
        <w:tabs>
          <w:tab w:val="num" w:pos="6528"/>
        </w:tabs>
        <w:ind w:left="6528" w:hanging="360"/>
      </w:pPr>
      <w:rPr>
        <w:rFonts w:ascii="Wingdings" w:hAnsi="Wingdings" w:hint="default"/>
        <w:sz w:val="20"/>
      </w:rPr>
    </w:lvl>
    <w:lvl w:ilvl="8">
      <w:start w:val="1"/>
      <w:numFmt w:val="bullet"/>
      <w:lvlText w:val=""/>
      <w:lvlJc w:val="left"/>
      <w:pPr>
        <w:tabs>
          <w:tab w:val="num" w:pos="7248"/>
        </w:tabs>
        <w:ind w:left="7248" w:hanging="360"/>
      </w:pPr>
      <w:rPr>
        <w:rFonts w:ascii="Wingdings" w:hAnsi="Wingdings" w:hint="default"/>
        <w:sz w:val="20"/>
      </w:rPr>
    </w:lvl>
  </w:abstractNum>
  <w:abstractNum w:abstractNumId="2" w15:restartNumberingAfterBreak="0">
    <w:nsid w:val="2AA12C00"/>
    <w:multiLevelType w:val="hybridMultilevel"/>
    <w:tmpl w:val="F2403CDC"/>
    <w:lvl w:ilvl="0" w:tplc="B09852D4">
      <w:start w:val="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EE2BFD"/>
    <w:multiLevelType w:val="hybridMultilevel"/>
    <w:tmpl w:val="8828DB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0E75773"/>
    <w:multiLevelType w:val="hybridMultilevel"/>
    <w:tmpl w:val="466CF1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5EB37AB"/>
    <w:multiLevelType w:val="multilevel"/>
    <w:tmpl w:val="A4F49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6D6726D"/>
    <w:multiLevelType w:val="hybridMultilevel"/>
    <w:tmpl w:val="1EE6B366"/>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7" w15:restartNumberingAfterBreak="0">
    <w:nsid w:val="388B5FFA"/>
    <w:multiLevelType w:val="hybridMultilevel"/>
    <w:tmpl w:val="A6F481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AFC05DB"/>
    <w:multiLevelType w:val="hybridMultilevel"/>
    <w:tmpl w:val="8DEE6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CB76AD"/>
    <w:multiLevelType w:val="multilevel"/>
    <w:tmpl w:val="4DAAC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8966EBE"/>
    <w:multiLevelType w:val="hybridMultilevel"/>
    <w:tmpl w:val="5784F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56133D"/>
    <w:multiLevelType w:val="hybridMultilevel"/>
    <w:tmpl w:val="6B66B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4B2A63"/>
    <w:multiLevelType w:val="hybridMultilevel"/>
    <w:tmpl w:val="C4AEC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692E14"/>
    <w:multiLevelType w:val="multilevel"/>
    <w:tmpl w:val="CCAA3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D28230D"/>
    <w:multiLevelType w:val="multilevel"/>
    <w:tmpl w:val="C5C22A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FB31341"/>
    <w:multiLevelType w:val="hybridMultilevel"/>
    <w:tmpl w:val="B29ED8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68D80162"/>
    <w:multiLevelType w:val="hybridMultilevel"/>
    <w:tmpl w:val="542A3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3F42E6F"/>
    <w:multiLevelType w:val="multilevel"/>
    <w:tmpl w:val="31865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4A24D2D"/>
    <w:multiLevelType w:val="hybridMultilevel"/>
    <w:tmpl w:val="1A3CE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4DC7711"/>
    <w:multiLevelType w:val="hybridMultilevel"/>
    <w:tmpl w:val="1E2AB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4"/>
  </w:num>
  <w:num w:numId="3">
    <w:abstractNumId w:val="12"/>
  </w:num>
  <w:num w:numId="4">
    <w:abstractNumId w:val="8"/>
  </w:num>
  <w:num w:numId="5">
    <w:abstractNumId w:val="11"/>
  </w:num>
  <w:num w:numId="6">
    <w:abstractNumId w:val="19"/>
  </w:num>
  <w:num w:numId="7">
    <w:abstractNumId w:val="0"/>
  </w:num>
  <w:num w:numId="8">
    <w:abstractNumId w:val="8"/>
  </w:num>
  <w:num w:numId="9">
    <w:abstractNumId w:val="1"/>
  </w:num>
  <w:num w:numId="10">
    <w:abstractNumId w:val="7"/>
  </w:num>
  <w:num w:numId="11">
    <w:abstractNumId w:val="3"/>
  </w:num>
  <w:num w:numId="12">
    <w:abstractNumId w:val="15"/>
  </w:num>
  <w:num w:numId="13">
    <w:abstractNumId w:val="4"/>
  </w:num>
  <w:num w:numId="14">
    <w:abstractNumId w:val="6"/>
  </w:num>
  <w:num w:numId="15">
    <w:abstractNumId w:val="15"/>
  </w:num>
  <w:num w:numId="16">
    <w:abstractNumId w:val="18"/>
  </w:num>
  <w:num w:numId="17">
    <w:abstractNumId w:val="10"/>
  </w:num>
  <w:num w:numId="18">
    <w:abstractNumId w:val="2"/>
  </w:num>
  <w:num w:numId="19">
    <w:abstractNumId w:val="5"/>
  </w:num>
  <w:num w:numId="20">
    <w:abstractNumId w:val="9"/>
  </w:num>
  <w:num w:numId="21">
    <w:abstractNumId w:val="13"/>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isplayBackgroundShape/>
  <w:embedSystemFonts/>
  <w:bordersDoNotSurroundHeader/>
  <w:bordersDoNotSurroundFooter/>
  <w:proofState w:spelling="clean" w:grammar="clean"/>
  <w:attachedTemplate r:id="rId1"/>
  <w:stylePaneSortMethod w:val="0000"/>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43009"/>
  </w:hdrShapeDefaults>
  <w:footnotePr>
    <w:footnote w:id="-1"/>
    <w:footnote w:id="0"/>
  </w:footnotePr>
  <w:endnotePr>
    <w:endnote w:id="-1"/>
    <w:endnote w:id="0"/>
  </w:endnotePr>
  <w:compat>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4B29"/>
    <w:rsid w:val="000068B9"/>
    <w:rsid w:val="0001285C"/>
    <w:rsid w:val="000141E1"/>
    <w:rsid w:val="000266D5"/>
    <w:rsid w:val="00034F4B"/>
    <w:rsid w:val="00041E9D"/>
    <w:rsid w:val="00051AEE"/>
    <w:rsid w:val="0005661F"/>
    <w:rsid w:val="00060C17"/>
    <w:rsid w:val="000709BE"/>
    <w:rsid w:val="000729F4"/>
    <w:rsid w:val="000735A5"/>
    <w:rsid w:val="00076B79"/>
    <w:rsid w:val="00083B72"/>
    <w:rsid w:val="00086AE5"/>
    <w:rsid w:val="00087C14"/>
    <w:rsid w:val="00096C9D"/>
    <w:rsid w:val="000A3D8F"/>
    <w:rsid w:val="000B0CCE"/>
    <w:rsid w:val="000B4FA9"/>
    <w:rsid w:val="000B56D8"/>
    <w:rsid w:val="000B6650"/>
    <w:rsid w:val="000B7C55"/>
    <w:rsid w:val="000C19E6"/>
    <w:rsid w:val="000D3DB5"/>
    <w:rsid w:val="000D53AE"/>
    <w:rsid w:val="000F69D6"/>
    <w:rsid w:val="0011701C"/>
    <w:rsid w:val="00126B07"/>
    <w:rsid w:val="00130004"/>
    <w:rsid w:val="00132975"/>
    <w:rsid w:val="00136AD5"/>
    <w:rsid w:val="00141F71"/>
    <w:rsid w:val="00143140"/>
    <w:rsid w:val="00157235"/>
    <w:rsid w:val="00162A07"/>
    <w:rsid w:val="00162CC0"/>
    <w:rsid w:val="00175F1B"/>
    <w:rsid w:val="00176141"/>
    <w:rsid w:val="00184B50"/>
    <w:rsid w:val="001863B2"/>
    <w:rsid w:val="001A5577"/>
    <w:rsid w:val="001A680D"/>
    <w:rsid w:val="001B6FD5"/>
    <w:rsid w:val="001B7C30"/>
    <w:rsid w:val="001C6871"/>
    <w:rsid w:val="001C7E6D"/>
    <w:rsid w:val="001C7EBB"/>
    <w:rsid w:val="001D41D0"/>
    <w:rsid w:val="001D4C22"/>
    <w:rsid w:val="00203006"/>
    <w:rsid w:val="002118A9"/>
    <w:rsid w:val="00211952"/>
    <w:rsid w:val="0022312A"/>
    <w:rsid w:val="002234E0"/>
    <w:rsid w:val="00226368"/>
    <w:rsid w:val="00237E07"/>
    <w:rsid w:val="00242F1C"/>
    <w:rsid w:val="0025049C"/>
    <w:rsid w:val="00251D7E"/>
    <w:rsid w:val="002606D8"/>
    <w:rsid w:val="00277C47"/>
    <w:rsid w:val="00284ACB"/>
    <w:rsid w:val="00290F3B"/>
    <w:rsid w:val="002B7E4D"/>
    <w:rsid w:val="002E1EC1"/>
    <w:rsid w:val="002E3D80"/>
    <w:rsid w:val="002E76DC"/>
    <w:rsid w:val="002F0367"/>
    <w:rsid w:val="002F7C44"/>
    <w:rsid w:val="00310CBF"/>
    <w:rsid w:val="0031514E"/>
    <w:rsid w:val="00322C99"/>
    <w:rsid w:val="00326537"/>
    <w:rsid w:val="00333719"/>
    <w:rsid w:val="0033720E"/>
    <w:rsid w:val="003448CE"/>
    <w:rsid w:val="00344EC8"/>
    <w:rsid w:val="003674DC"/>
    <w:rsid w:val="003709AB"/>
    <w:rsid w:val="003715B3"/>
    <w:rsid w:val="003851FD"/>
    <w:rsid w:val="003B7448"/>
    <w:rsid w:val="003C1FEF"/>
    <w:rsid w:val="003D4204"/>
    <w:rsid w:val="003D53F8"/>
    <w:rsid w:val="003E00D2"/>
    <w:rsid w:val="003E08C2"/>
    <w:rsid w:val="003F2381"/>
    <w:rsid w:val="003F4B29"/>
    <w:rsid w:val="004007E4"/>
    <w:rsid w:val="004018E1"/>
    <w:rsid w:val="00404E8E"/>
    <w:rsid w:val="00412227"/>
    <w:rsid w:val="00421884"/>
    <w:rsid w:val="004250B7"/>
    <w:rsid w:val="004333B8"/>
    <w:rsid w:val="00433FE7"/>
    <w:rsid w:val="00441EE4"/>
    <w:rsid w:val="00444777"/>
    <w:rsid w:val="00446E1D"/>
    <w:rsid w:val="00465E79"/>
    <w:rsid w:val="004678BD"/>
    <w:rsid w:val="0047779F"/>
    <w:rsid w:val="00486D70"/>
    <w:rsid w:val="00490CE0"/>
    <w:rsid w:val="00491F87"/>
    <w:rsid w:val="004925B4"/>
    <w:rsid w:val="00495AF2"/>
    <w:rsid w:val="004B79B6"/>
    <w:rsid w:val="004D0748"/>
    <w:rsid w:val="004E47F3"/>
    <w:rsid w:val="004F4552"/>
    <w:rsid w:val="004F663D"/>
    <w:rsid w:val="00526BF8"/>
    <w:rsid w:val="00531692"/>
    <w:rsid w:val="00533DA1"/>
    <w:rsid w:val="00534A0A"/>
    <w:rsid w:val="005529FF"/>
    <w:rsid w:val="00554802"/>
    <w:rsid w:val="00560801"/>
    <w:rsid w:val="00565993"/>
    <w:rsid w:val="00570BE7"/>
    <w:rsid w:val="005716DB"/>
    <w:rsid w:val="00571D37"/>
    <w:rsid w:val="00571F64"/>
    <w:rsid w:val="00574441"/>
    <w:rsid w:val="005829BD"/>
    <w:rsid w:val="00582FE1"/>
    <w:rsid w:val="00587FD3"/>
    <w:rsid w:val="00594847"/>
    <w:rsid w:val="005A0AE4"/>
    <w:rsid w:val="005D42A9"/>
    <w:rsid w:val="005D5C04"/>
    <w:rsid w:val="005E0E12"/>
    <w:rsid w:val="005E2BD9"/>
    <w:rsid w:val="005F2B3B"/>
    <w:rsid w:val="00602E6B"/>
    <w:rsid w:val="0060304C"/>
    <w:rsid w:val="00616EA8"/>
    <w:rsid w:val="006205EC"/>
    <w:rsid w:val="00637FD1"/>
    <w:rsid w:val="006500F6"/>
    <w:rsid w:val="00651003"/>
    <w:rsid w:val="00655C5F"/>
    <w:rsid w:val="006563D7"/>
    <w:rsid w:val="00656D41"/>
    <w:rsid w:val="00662EED"/>
    <w:rsid w:val="0067011E"/>
    <w:rsid w:val="0067171C"/>
    <w:rsid w:val="00692BAF"/>
    <w:rsid w:val="0069357F"/>
    <w:rsid w:val="00693CF4"/>
    <w:rsid w:val="006B317F"/>
    <w:rsid w:val="006B50BF"/>
    <w:rsid w:val="006C705E"/>
    <w:rsid w:val="006E430B"/>
    <w:rsid w:val="006F0B99"/>
    <w:rsid w:val="0073417D"/>
    <w:rsid w:val="0074168B"/>
    <w:rsid w:val="007509A9"/>
    <w:rsid w:val="00760449"/>
    <w:rsid w:val="00762376"/>
    <w:rsid w:val="00762796"/>
    <w:rsid w:val="00767BF2"/>
    <w:rsid w:val="00776105"/>
    <w:rsid w:val="0077613F"/>
    <w:rsid w:val="00776379"/>
    <w:rsid w:val="0078764A"/>
    <w:rsid w:val="007A1467"/>
    <w:rsid w:val="007B091E"/>
    <w:rsid w:val="007B1B50"/>
    <w:rsid w:val="007C0018"/>
    <w:rsid w:val="007C21AE"/>
    <w:rsid w:val="007C3870"/>
    <w:rsid w:val="007D79BA"/>
    <w:rsid w:val="007E07A0"/>
    <w:rsid w:val="007E4EC0"/>
    <w:rsid w:val="007E7714"/>
    <w:rsid w:val="007F2279"/>
    <w:rsid w:val="007F46FE"/>
    <w:rsid w:val="008027D0"/>
    <w:rsid w:val="0080507F"/>
    <w:rsid w:val="00814F60"/>
    <w:rsid w:val="0083353A"/>
    <w:rsid w:val="00836BEA"/>
    <w:rsid w:val="00837999"/>
    <w:rsid w:val="00842D33"/>
    <w:rsid w:val="00844B11"/>
    <w:rsid w:val="00847CB0"/>
    <w:rsid w:val="008665EC"/>
    <w:rsid w:val="0086671D"/>
    <w:rsid w:val="008747E6"/>
    <w:rsid w:val="00882C4F"/>
    <w:rsid w:val="0088567F"/>
    <w:rsid w:val="00885699"/>
    <w:rsid w:val="008874FF"/>
    <w:rsid w:val="00896CC8"/>
    <w:rsid w:val="008A1ABD"/>
    <w:rsid w:val="008A49D6"/>
    <w:rsid w:val="008A7A52"/>
    <w:rsid w:val="008B4D06"/>
    <w:rsid w:val="008C24B3"/>
    <w:rsid w:val="008C7B39"/>
    <w:rsid w:val="008D14C1"/>
    <w:rsid w:val="008D42B1"/>
    <w:rsid w:val="008D6EEE"/>
    <w:rsid w:val="008E0A42"/>
    <w:rsid w:val="008E10E7"/>
    <w:rsid w:val="008E4599"/>
    <w:rsid w:val="008E68D1"/>
    <w:rsid w:val="008E7883"/>
    <w:rsid w:val="008F1009"/>
    <w:rsid w:val="008F6E1A"/>
    <w:rsid w:val="00903BD8"/>
    <w:rsid w:val="00903C8C"/>
    <w:rsid w:val="009052F9"/>
    <w:rsid w:val="00912750"/>
    <w:rsid w:val="009143F0"/>
    <w:rsid w:val="0091621A"/>
    <w:rsid w:val="00922F1A"/>
    <w:rsid w:val="00934CCE"/>
    <w:rsid w:val="00943E09"/>
    <w:rsid w:val="0094526C"/>
    <w:rsid w:val="00962301"/>
    <w:rsid w:val="00963419"/>
    <w:rsid w:val="00975383"/>
    <w:rsid w:val="0097566F"/>
    <w:rsid w:val="00982C63"/>
    <w:rsid w:val="009914E3"/>
    <w:rsid w:val="00993DB2"/>
    <w:rsid w:val="00994153"/>
    <w:rsid w:val="009A10EC"/>
    <w:rsid w:val="009A504D"/>
    <w:rsid w:val="009A5818"/>
    <w:rsid w:val="009A6A31"/>
    <w:rsid w:val="009B325A"/>
    <w:rsid w:val="009B4D58"/>
    <w:rsid w:val="009B72C4"/>
    <w:rsid w:val="009C3909"/>
    <w:rsid w:val="009C4EDE"/>
    <w:rsid w:val="009C4F3A"/>
    <w:rsid w:val="009E0122"/>
    <w:rsid w:val="009F11E3"/>
    <w:rsid w:val="009F607A"/>
    <w:rsid w:val="009F7B4E"/>
    <w:rsid w:val="00A02EA9"/>
    <w:rsid w:val="00A03AFC"/>
    <w:rsid w:val="00A10FEC"/>
    <w:rsid w:val="00A1143D"/>
    <w:rsid w:val="00A11F83"/>
    <w:rsid w:val="00A162BC"/>
    <w:rsid w:val="00A27C7E"/>
    <w:rsid w:val="00A32355"/>
    <w:rsid w:val="00A45363"/>
    <w:rsid w:val="00A45DF2"/>
    <w:rsid w:val="00A6047E"/>
    <w:rsid w:val="00A61B29"/>
    <w:rsid w:val="00A74A4A"/>
    <w:rsid w:val="00A75572"/>
    <w:rsid w:val="00A84A06"/>
    <w:rsid w:val="00A93F9E"/>
    <w:rsid w:val="00A96FC1"/>
    <w:rsid w:val="00A97706"/>
    <w:rsid w:val="00AA1324"/>
    <w:rsid w:val="00AA297E"/>
    <w:rsid w:val="00AB5A4F"/>
    <w:rsid w:val="00AC26D7"/>
    <w:rsid w:val="00AC4ABB"/>
    <w:rsid w:val="00AD0E8E"/>
    <w:rsid w:val="00AD59D8"/>
    <w:rsid w:val="00AE39A8"/>
    <w:rsid w:val="00B004AA"/>
    <w:rsid w:val="00B010A5"/>
    <w:rsid w:val="00B03852"/>
    <w:rsid w:val="00B04230"/>
    <w:rsid w:val="00B0721A"/>
    <w:rsid w:val="00B23553"/>
    <w:rsid w:val="00B30DC4"/>
    <w:rsid w:val="00B47460"/>
    <w:rsid w:val="00B57F7C"/>
    <w:rsid w:val="00B679F9"/>
    <w:rsid w:val="00B67ECF"/>
    <w:rsid w:val="00B70EC0"/>
    <w:rsid w:val="00B7159B"/>
    <w:rsid w:val="00B8262A"/>
    <w:rsid w:val="00B8591C"/>
    <w:rsid w:val="00B93762"/>
    <w:rsid w:val="00BD13D2"/>
    <w:rsid w:val="00BD3882"/>
    <w:rsid w:val="00BE3DBB"/>
    <w:rsid w:val="00BF665A"/>
    <w:rsid w:val="00C03D04"/>
    <w:rsid w:val="00C05148"/>
    <w:rsid w:val="00C156BA"/>
    <w:rsid w:val="00C22C56"/>
    <w:rsid w:val="00C2438C"/>
    <w:rsid w:val="00C32EB6"/>
    <w:rsid w:val="00C37E0F"/>
    <w:rsid w:val="00C503F2"/>
    <w:rsid w:val="00C515C5"/>
    <w:rsid w:val="00C53972"/>
    <w:rsid w:val="00C560A3"/>
    <w:rsid w:val="00C56900"/>
    <w:rsid w:val="00C717DB"/>
    <w:rsid w:val="00C87816"/>
    <w:rsid w:val="00CA2C14"/>
    <w:rsid w:val="00CA5327"/>
    <w:rsid w:val="00CC3AC3"/>
    <w:rsid w:val="00CD7720"/>
    <w:rsid w:val="00CE7C44"/>
    <w:rsid w:val="00CF01CB"/>
    <w:rsid w:val="00D00FB1"/>
    <w:rsid w:val="00D019E2"/>
    <w:rsid w:val="00D06B69"/>
    <w:rsid w:val="00D2071C"/>
    <w:rsid w:val="00D263B9"/>
    <w:rsid w:val="00D40D74"/>
    <w:rsid w:val="00D471F4"/>
    <w:rsid w:val="00D636D7"/>
    <w:rsid w:val="00D658E0"/>
    <w:rsid w:val="00D70553"/>
    <w:rsid w:val="00D87CE9"/>
    <w:rsid w:val="00D90E70"/>
    <w:rsid w:val="00D928C1"/>
    <w:rsid w:val="00DA2659"/>
    <w:rsid w:val="00DA41FD"/>
    <w:rsid w:val="00DA58CF"/>
    <w:rsid w:val="00DB21F5"/>
    <w:rsid w:val="00DC5C6E"/>
    <w:rsid w:val="00DD7BB5"/>
    <w:rsid w:val="00DE5D33"/>
    <w:rsid w:val="00DF0D6C"/>
    <w:rsid w:val="00DF2528"/>
    <w:rsid w:val="00E01082"/>
    <w:rsid w:val="00E02DAF"/>
    <w:rsid w:val="00E05479"/>
    <w:rsid w:val="00E07FA4"/>
    <w:rsid w:val="00E2699B"/>
    <w:rsid w:val="00E4387F"/>
    <w:rsid w:val="00E43C61"/>
    <w:rsid w:val="00E55A80"/>
    <w:rsid w:val="00E55FEC"/>
    <w:rsid w:val="00E9728B"/>
    <w:rsid w:val="00EA60CF"/>
    <w:rsid w:val="00ED103E"/>
    <w:rsid w:val="00ED53BC"/>
    <w:rsid w:val="00ED5833"/>
    <w:rsid w:val="00ED5B0D"/>
    <w:rsid w:val="00EE7750"/>
    <w:rsid w:val="00EF65B4"/>
    <w:rsid w:val="00F02DAD"/>
    <w:rsid w:val="00F055C4"/>
    <w:rsid w:val="00F0791E"/>
    <w:rsid w:val="00F1614F"/>
    <w:rsid w:val="00F252C7"/>
    <w:rsid w:val="00F42253"/>
    <w:rsid w:val="00F46B32"/>
    <w:rsid w:val="00F5172D"/>
    <w:rsid w:val="00F75808"/>
    <w:rsid w:val="00F80C57"/>
    <w:rsid w:val="00F82E1D"/>
    <w:rsid w:val="00F921A1"/>
    <w:rsid w:val="00FA5DDD"/>
    <w:rsid w:val="00FC103C"/>
    <w:rsid w:val="00FD5F54"/>
    <w:rsid w:val="00FD634C"/>
    <w:rsid w:val="00FE1B6A"/>
    <w:rsid w:val="00FE786A"/>
    <w:rsid w:val="00FF4E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3009"/>
    <o:shapelayout v:ext="edit">
      <o:idmap v:ext="edit" data="1"/>
    </o:shapelayout>
  </w:shapeDefaults>
  <w:decimalSymbol w:val="."/>
  <w:listSeparator w:val=","/>
  <w14:docId w14:val="46B9FDE3"/>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imes New Roman"/>
        <w:sz w:val="22"/>
        <w:szCs w:val="22"/>
        <w:lang w:val="en-US" w:eastAsia="en-US" w:bidi="ar-SA"/>
      </w:rPr>
    </w:rPrDefault>
    <w:pPrDefault>
      <w:pPr>
        <w:spacing w:after="240"/>
      </w:pPr>
    </w:pPrDefault>
  </w:docDefaults>
  <w:latentStyles w:defLockedState="0" w:defUIPriority="99" w:defSemiHidden="0" w:defUnhideWhenUsed="0" w:defQFormat="0" w:count="376">
    <w:lsdException w:name="Normal" w:uiPriority="1" w:qFormat="1"/>
    <w:lsdException w:name="heading 1" w:uiPriority="1" w:qFormat="1"/>
    <w:lsdException w:name="heading 2" w:uiPriority="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203006"/>
    <w:pPr>
      <w:widowControl w:val="0"/>
      <w:autoSpaceDE w:val="0"/>
      <w:autoSpaceDN w:val="0"/>
      <w:adjustRightInd w:val="0"/>
      <w:spacing w:after="200"/>
    </w:pPr>
    <w:rPr>
      <w:rFonts w:cs="Georgia"/>
    </w:rPr>
  </w:style>
  <w:style w:type="paragraph" w:styleId="Heading1">
    <w:name w:val="heading 1"/>
    <w:basedOn w:val="Normal"/>
    <w:next w:val="Normal"/>
    <w:link w:val="Heading1Char"/>
    <w:uiPriority w:val="1"/>
    <w:qFormat/>
    <w:rsid w:val="00844B11"/>
    <w:pPr>
      <w:kinsoku w:val="0"/>
      <w:overflowPunct w:val="0"/>
      <w:spacing w:before="120" w:after="120"/>
      <w:outlineLvl w:val="0"/>
    </w:pPr>
    <w:rPr>
      <w:rFonts w:asciiTheme="majorHAnsi" w:hAnsiTheme="majorHAnsi" w:cs="Lucida Grande"/>
      <w:b/>
      <w:bCs/>
      <w:caps/>
      <w:color w:val="1B74BC" w:themeColor="accent1"/>
      <w:sz w:val="56"/>
      <w:szCs w:val="48"/>
    </w:rPr>
  </w:style>
  <w:style w:type="paragraph" w:styleId="Heading2">
    <w:name w:val="heading 2"/>
    <w:basedOn w:val="Normal"/>
    <w:next w:val="Normal"/>
    <w:link w:val="Heading2Char"/>
    <w:uiPriority w:val="1"/>
    <w:semiHidden/>
    <w:qFormat/>
    <w:rsid w:val="007C0018"/>
    <w:pPr>
      <w:spacing w:before="120" w:after="120"/>
      <w:outlineLvl w:val="1"/>
    </w:pPr>
    <w:rPr>
      <w:i/>
      <w:color w:val="009DD9" w:themeColor="accent2"/>
      <w:sz w:val="36"/>
      <w:szCs w:val="36"/>
    </w:rPr>
  </w:style>
  <w:style w:type="paragraph" w:styleId="Heading3">
    <w:name w:val="heading 3"/>
    <w:basedOn w:val="Normal"/>
    <w:next w:val="Normal"/>
    <w:link w:val="Heading3Char"/>
    <w:uiPriority w:val="9"/>
    <w:semiHidden/>
    <w:qFormat/>
    <w:rsid w:val="00421884"/>
    <w:pPr>
      <w:keepNext/>
      <w:keepLines/>
      <w:spacing w:before="40" w:after="0"/>
      <w:outlineLvl w:val="2"/>
    </w:pPr>
    <w:rPr>
      <w:rFonts w:asciiTheme="majorHAnsi" w:eastAsiaTheme="majorEastAsia" w:hAnsiTheme="majorHAnsi" w:cstheme="majorBidi"/>
      <w:color w:val="0D395D"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semiHidden/>
    <w:rsid w:val="00B70EC0"/>
    <w:pPr>
      <w:kinsoku w:val="0"/>
      <w:overflowPunct w:val="0"/>
      <w:spacing w:before="93" w:line="249" w:lineRule="auto"/>
      <w:ind w:left="313" w:right="62"/>
    </w:pPr>
    <w:rPr>
      <w:spacing w:val="-8"/>
      <w:sz w:val="24"/>
      <w:szCs w:val="24"/>
    </w:rPr>
  </w:style>
  <w:style w:type="character" w:customStyle="1" w:styleId="BodyTextChar">
    <w:name w:val="Body Text Char"/>
    <w:basedOn w:val="DefaultParagraphFont"/>
    <w:link w:val="BodyText"/>
    <w:uiPriority w:val="1"/>
    <w:semiHidden/>
    <w:rsid w:val="00034F4B"/>
    <w:rPr>
      <w:rFonts w:ascii="Arial" w:hAnsi="Arial" w:cs="Arial"/>
      <w:spacing w:val="-8"/>
      <w:sz w:val="24"/>
      <w:szCs w:val="24"/>
    </w:rPr>
  </w:style>
  <w:style w:type="character" w:customStyle="1" w:styleId="Heading1Char">
    <w:name w:val="Heading 1 Char"/>
    <w:basedOn w:val="DefaultParagraphFont"/>
    <w:link w:val="Heading1"/>
    <w:uiPriority w:val="1"/>
    <w:rsid w:val="00844B11"/>
    <w:rPr>
      <w:rFonts w:asciiTheme="majorHAnsi" w:hAnsiTheme="majorHAnsi" w:cs="Lucida Grande"/>
      <w:b/>
      <w:bCs/>
      <w:caps/>
      <w:color w:val="1B74BC" w:themeColor="accent1"/>
      <w:sz w:val="56"/>
      <w:szCs w:val="48"/>
    </w:rPr>
  </w:style>
  <w:style w:type="character" w:customStyle="1" w:styleId="Heading2Char">
    <w:name w:val="Heading 2 Char"/>
    <w:basedOn w:val="DefaultParagraphFont"/>
    <w:link w:val="Heading2"/>
    <w:uiPriority w:val="1"/>
    <w:semiHidden/>
    <w:rsid w:val="007A1467"/>
    <w:rPr>
      <w:rFonts w:cs="Georgia"/>
      <w:i/>
      <w:color w:val="009DD9" w:themeColor="accent2"/>
      <w:sz w:val="36"/>
      <w:szCs w:val="36"/>
    </w:rPr>
  </w:style>
  <w:style w:type="paragraph" w:styleId="ListParagraph">
    <w:name w:val="List Paragraph"/>
    <w:basedOn w:val="Normal"/>
    <w:uiPriority w:val="34"/>
    <w:qFormat/>
    <w:rPr>
      <w:rFonts w:ascii="Times New Roman" w:hAnsi="Times New Roman"/>
      <w:sz w:val="24"/>
      <w:szCs w:val="24"/>
    </w:rPr>
  </w:style>
  <w:style w:type="character" w:customStyle="1" w:styleId="UnresolvedMention1">
    <w:name w:val="Unresolved Mention1"/>
    <w:basedOn w:val="DefaultParagraphFont"/>
    <w:uiPriority w:val="99"/>
    <w:semiHidden/>
    <w:rsid w:val="00034F4B"/>
    <w:rPr>
      <w:color w:val="808080"/>
      <w:shd w:val="clear" w:color="auto" w:fill="E6E6E6"/>
    </w:rPr>
  </w:style>
  <w:style w:type="paragraph" w:styleId="Title">
    <w:name w:val="Title"/>
    <w:basedOn w:val="Normal"/>
    <w:next w:val="Normal"/>
    <w:link w:val="TitleChar"/>
    <w:uiPriority w:val="10"/>
    <w:qFormat/>
    <w:rsid w:val="00616EA8"/>
    <w:pPr>
      <w:spacing w:before="120" w:after="120" w:line="192" w:lineRule="auto"/>
    </w:pPr>
    <w:rPr>
      <w:rFonts w:ascii="Calibri Light" w:hAnsi="Calibri Light"/>
      <w:b/>
      <w:bCs/>
      <w:color w:val="FFFFFF"/>
      <w:spacing w:val="-10"/>
      <w:kern w:val="28"/>
      <w:sz w:val="72"/>
      <w:szCs w:val="56"/>
    </w:rPr>
  </w:style>
  <w:style w:type="character" w:customStyle="1" w:styleId="TitleChar">
    <w:name w:val="Title Char"/>
    <w:basedOn w:val="DefaultParagraphFont"/>
    <w:link w:val="Title"/>
    <w:uiPriority w:val="10"/>
    <w:rsid w:val="00616EA8"/>
    <w:rPr>
      <w:rFonts w:ascii="Calibri Light" w:hAnsi="Calibri Light"/>
      <w:b/>
      <w:bCs/>
      <w:color w:val="FFFFFF"/>
      <w:spacing w:val="-10"/>
      <w:kern w:val="28"/>
      <w:sz w:val="72"/>
      <w:szCs w:val="56"/>
    </w:rPr>
  </w:style>
  <w:style w:type="paragraph" w:styleId="Subtitle">
    <w:name w:val="Subtitle"/>
    <w:basedOn w:val="Normal"/>
    <w:next w:val="Normal"/>
    <w:link w:val="SubtitleChar"/>
    <w:uiPriority w:val="11"/>
    <w:semiHidden/>
    <w:qFormat/>
    <w:rsid w:val="00BD13D2"/>
    <w:pPr>
      <w:spacing w:before="120" w:after="120"/>
      <w:jc w:val="center"/>
    </w:pPr>
    <w:rPr>
      <w:b/>
      <w:color w:val="FFFFFF" w:themeColor="background1"/>
      <w:sz w:val="36"/>
      <w:szCs w:val="36"/>
    </w:rPr>
  </w:style>
  <w:style w:type="character" w:customStyle="1" w:styleId="SubtitleChar">
    <w:name w:val="Subtitle Char"/>
    <w:basedOn w:val="DefaultParagraphFont"/>
    <w:link w:val="Subtitle"/>
    <w:uiPriority w:val="11"/>
    <w:semiHidden/>
    <w:rsid w:val="007A1467"/>
    <w:rPr>
      <w:rFonts w:cs="Georgia"/>
      <w:b/>
      <w:color w:val="FFFFFF" w:themeColor="background1"/>
      <w:sz w:val="36"/>
      <w:szCs w:val="36"/>
    </w:rPr>
  </w:style>
  <w:style w:type="paragraph" w:styleId="Quote">
    <w:name w:val="Quote"/>
    <w:basedOn w:val="BodyText"/>
    <w:next w:val="Normal"/>
    <w:link w:val="QuoteChar"/>
    <w:uiPriority w:val="29"/>
    <w:qFormat/>
    <w:rsid w:val="00E55A80"/>
    <w:pPr>
      <w:shd w:val="clear" w:color="auto" w:fill="595959" w:themeFill="text1" w:themeFillTint="A6"/>
      <w:spacing w:before="0" w:after="0" w:line="240" w:lineRule="auto"/>
      <w:ind w:left="113"/>
      <w:jc w:val="center"/>
    </w:pPr>
    <w:rPr>
      <w:rFonts w:ascii="Constantia" w:hAnsi="Constantia"/>
      <w:b/>
      <w:i/>
      <w:color w:val="FFFFFF"/>
      <w:szCs w:val="28"/>
    </w:rPr>
  </w:style>
  <w:style w:type="character" w:customStyle="1" w:styleId="QuoteChar">
    <w:name w:val="Quote Char"/>
    <w:basedOn w:val="DefaultParagraphFont"/>
    <w:link w:val="Quote"/>
    <w:uiPriority w:val="29"/>
    <w:rsid w:val="00E55A80"/>
    <w:rPr>
      <w:rFonts w:ascii="Constantia" w:hAnsi="Constantia" w:cs="Georgia"/>
      <w:b/>
      <w:i/>
      <w:color w:val="FFFFFF"/>
      <w:spacing w:val="-8"/>
      <w:sz w:val="24"/>
      <w:szCs w:val="28"/>
      <w:shd w:val="clear" w:color="auto" w:fill="595959" w:themeFill="text1" w:themeFillTint="A6"/>
    </w:rPr>
  </w:style>
  <w:style w:type="paragraph" w:styleId="Header">
    <w:name w:val="header"/>
    <w:basedOn w:val="Normal"/>
    <w:link w:val="HeaderChar"/>
    <w:uiPriority w:val="99"/>
    <w:semiHidden/>
    <w:rsid w:val="00F921A1"/>
    <w:pPr>
      <w:tabs>
        <w:tab w:val="center" w:pos="4680"/>
        <w:tab w:val="right" w:pos="9360"/>
      </w:tabs>
      <w:spacing w:after="0"/>
    </w:pPr>
  </w:style>
  <w:style w:type="character" w:styleId="BookTitle">
    <w:name w:val="Book Title"/>
    <w:basedOn w:val="DefaultParagraphFont"/>
    <w:uiPriority w:val="33"/>
    <w:semiHidden/>
    <w:rsid w:val="00034F4B"/>
    <w:rPr>
      <w:b/>
      <w:bCs/>
      <w:i/>
      <w:iCs/>
      <w:spacing w:val="5"/>
    </w:rPr>
  </w:style>
  <w:style w:type="character" w:styleId="Emphasis">
    <w:name w:val="Emphasis"/>
    <w:basedOn w:val="DefaultParagraphFont"/>
    <w:uiPriority w:val="20"/>
    <w:qFormat/>
    <w:rsid w:val="00034F4B"/>
    <w:rPr>
      <w:i/>
      <w:iCs/>
    </w:rPr>
  </w:style>
  <w:style w:type="character" w:customStyle="1" w:styleId="Hashtag1">
    <w:name w:val="Hashtag1"/>
    <w:basedOn w:val="DefaultParagraphFont"/>
    <w:uiPriority w:val="99"/>
    <w:semiHidden/>
    <w:rsid w:val="00034F4B"/>
    <w:rPr>
      <w:color w:val="2B579A"/>
      <w:shd w:val="clear" w:color="auto" w:fill="E6E6E6"/>
    </w:rPr>
  </w:style>
  <w:style w:type="character" w:styleId="IntenseEmphasis">
    <w:name w:val="Intense Emphasis"/>
    <w:basedOn w:val="DefaultParagraphFont"/>
    <w:uiPriority w:val="21"/>
    <w:semiHidden/>
    <w:rsid w:val="00034F4B"/>
    <w:rPr>
      <w:i/>
      <w:iCs/>
      <w:color w:val="1B74BC" w:themeColor="accent1"/>
    </w:rPr>
  </w:style>
  <w:style w:type="paragraph" w:styleId="IntenseQuote">
    <w:name w:val="Intense Quote"/>
    <w:basedOn w:val="Normal"/>
    <w:next w:val="Normal"/>
    <w:link w:val="IntenseQuoteChar"/>
    <w:uiPriority w:val="30"/>
    <w:semiHidden/>
    <w:rsid w:val="00034F4B"/>
    <w:pPr>
      <w:pBdr>
        <w:top w:val="single" w:sz="4" w:space="10" w:color="1B74BC" w:themeColor="accent1"/>
        <w:bottom w:val="single" w:sz="4" w:space="10" w:color="1B74BC" w:themeColor="accent1"/>
      </w:pBdr>
      <w:spacing w:before="360" w:after="360"/>
      <w:ind w:left="864" w:right="864"/>
      <w:jc w:val="center"/>
    </w:pPr>
    <w:rPr>
      <w:i/>
      <w:iCs/>
      <w:color w:val="1B74BC" w:themeColor="accent1"/>
    </w:rPr>
  </w:style>
  <w:style w:type="character" w:customStyle="1" w:styleId="IntenseQuoteChar">
    <w:name w:val="Intense Quote Char"/>
    <w:basedOn w:val="DefaultParagraphFont"/>
    <w:link w:val="IntenseQuote"/>
    <w:uiPriority w:val="30"/>
    <w:semiHidden/>
    <w:rsid w:val="00034F4B"/>
    <w:rPr>
      <w:rFonts w:ascii="Arial" w:hAnsi="Arial" w:cs="Arial"/>
      <w:i/>
      <w:iCs/>
      <w:color w:val="1B74BC" w:themeColor="accent1"/>
      <w:sz w:val="22"/>
      <w:szCs w:val="22"/>
    </w:rPr>
  </w:style>
  <w:style w:type="character" w:styleId="IntenseReference">
    <w:name w:val="Intense Reference"/>
    <w:basedOn w:val="DefaultParagraphFont"/>
    <w:uiPriority w:val="32"/>
    <w:semiHidden/>
    <w:rsid w:val="00034F4B"/>
    <w:rPr>
      <w:b/>
      <w:bCs/>
      <w:smallCaps/>
      <w:color w:val="1B74BC" w:themeColor="accent1"/>
      <w:spacing w:val="5"/>
    </w:rPr>
  </w:style>
  <w:style w:type="character" w:styleId="Strong">
    <w:name w:val="Strong"/>
    <w:basedOn w:val="DefaultParagraphFont"/>
    <w:uiPriority w:val="22"/>
    <w:semiHidden/>
    <w:rsid w:val="00034F4B"/>
    <w:rPr>
      <w:b/>
      <w:bCs/>
    </w:rPr>
  </w:style>
  <w:style w:type="character" w:styleId="SubtleEmphasis">
    <w:name w:val="Subtle Emphasis"/>
    <w:basedOn w:val="DefaultParagraphFont"/>
    <w:uiPriority w:val="19"/>
    <w:semiHidden/>
    <w:rsid w:val="00034F4B"/>
    <w:rPr>
      <w:i/>
      <w:iCs/>
      <w:color w:val="404040" w:themeColor="text1" w:themeTint="BF"/>
    </w:rPr>
  </w:style>
  <w:style w:type="character" w:styleId="SubtleReference">
    <w:name w:val="Subtle Reference"/>
    <w:basedOn w:val="DefaultParagraphFont"/>
    <w:uiPriority w:val="31"/>
    <w:semiHidden/>
    <w:rsid w:val="00034F4B"/>
    <w:rPr>
      <w:smallCaps/>
      <w:color w:val="5A5A5A" w:themeColor="text1" w:themeTint="A5"/>
    </w:rPr>
  </w:style>
  <w:style w:type="character" w:customStyle="1" w:styleId="HeaderChar">
    <w:name w:val="Header Char"/>
    <w:basedOn w:val="DefaultParagraphFont"/>
    <w:link w:val="Header"/>
    <w:uiPriority w:val="99"/>
    <w:semiHidden/>
    <w:rsid w:val="007C0018"/>
  </w:style>
  <w:style w:type="paragraph" w:styleId="Footer">
    <w:name w:val="footer"/>
    <w:basedOn w:val="Normal"/>
    <w:link w:val="FooterChar"/>
    <w:uiPriority w:val="99"/>
    <w:rsid w:val="00F921A1"/>
    <w:pPr>
      <w:tabs>
        <w:tab w:val="center" w:pos="4680"/>
        <w:tab w:val="right" w:pos="9360"/>
      </w:tabs>
      <w:spacing w:after="0"/>
    </w:pPr>
  </w:style>
  <w:style w:type="character" w:customStyle="1" w:styleId="FooterChar">
    <w:name w:val="Footer Char"/>
    <w:basedOn w:val="DefaultParagraphFont"/>
    <w:link w:val="Footer"/>
    <w:uiPriority w:val="99"/>
    <w:rsid w:val="007C0018"/>
  </w:style>
  <w:style w:type="table" w:styleId="TableGrid">
    <w:name w:val="Table Grid"/>
    <w:basedOn w:val="TableNormal"/>
    <w:uiPriority w:val="39"/>
    <w:rsid w:val="000D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withDarkBackground">
    <w:name w:val="Normal with Dark Background"/>
    <w:basedOn w:val="Normal"/>
    <w:uiPriority w:val="1"/>
    <w:semiHidden/>
    <w:qFormat/>
    <w:rsid w:val="006563D7"/>
    <w:rPr>
      <w:color w:val="FFFFFF" w:themeColor="background1"/>
    </w:rPr>
  </w:style>
  <w:style w:type="paragraph" w:customStyle="1" w:styleId="Heading1Alt">
    <w:name w:val="Heading 1 Alt"/>
    <w:basedOn w:val="Normal"/>
    <w:uiPriority w:val="1"/>
    <w:qFormat/>
    <w:rsid w:val="00616EA8"/>
    <w:pPr>
      <w:spacing w:before="120" w:line="180" w:lineRule="auto"/>
    </w:pPr>
    <w:rPr>
      <w:rFonts w:ascii="Calibri Light" w:hAnsi="Calibri Light"/>
      <w:b/>
      <w:caps/>
      <w:color w:val="001F5F"/>
      <w:sz w:val="56"/>
    </w:rPr>
  </w:style>
  <w:style w:type="paragraph" w:customStyle="1" w:styleId="Heading2Alt">
    <w:name w:val="Heading 2 Alt"/>
    <w:basedOn w:val="Normal"/>
    <w:uiPriority w:val="1"/>
    <w:semiHidden/>
    <w:qFormat/>
    <w:rsid w:val="006563D7"/>
    <w:pPr>
      <w:spacing w:before="120"/>
    </w:pPr>
    <w:rPr>
      <w:i/>
      <w:color w:val="FFFFFF" w:themeColor="background1"/>
      <w:sz w:val="36"/>
    </w:rPr>
  </w:style>
  <w:style w:type="paragraph" w:styleId="NoSpacing">
    <w:name w:val="No Spacing"/>
    <w:uiPriority w:val="1"/>
    <w:qFormat/>
    <w:rsid w:val="006563D7"/>
    <w:pPr>
      <w:spacing w:after="0"/>
    </w:pPr>
    <w:rPr>
      <w:sz w:val="24"/>
    </w:rPr>
  </w:style>
  <w:style w:type="character" w:styleId="PlaceholderText">
    <w:name w:val="Placeholder Text"/>
    <w:basedOn w:val="DefaultParagraphFont"/>
    <w:uiPriority w:val="99"/>
    <w:semiHidden/>
    <w:rsid w:val="009052F9"/>
    <w:rPr>
      <w:color w:val="808080"/>
    </w:rPr>
  </w:style>
  <w:style w:type="paragraph" w:styleId="Date">
    <w:name w:val="Date"/>
    <w:basedOn w:val="Normal"/>
    <w:next w:val="Normal"/>
    <w:link w:val="DateChar"/>
    <w:uiPriority w:val="99"/>
    <w:rsid w:val="00B004AA"/>
    <w:pPr>
      <w:kinsoku w:val="0"/>
      <w:overflowPunct w:val="0"/>
      <w:spacing w:after="0"/>
      <w:ind w:right="69"/>
      <w:jc w:val="right"/>
    </w:pPr>
    <w:rPr>
      <w:rFonts w:ascii="Constantia" w:hAnsi="Constantia"/>
      <w:color w:val="0075A2" w:themeColor="accent2" w:themeShade="BF"/>
      <w:sz w:val="24"/>
      <w:szCs w:val="24"/>
    </w:rPr>
  </w:style>
  <w:style w:type="character" w:customStyle="1" w:styleId="DateChar">
    <w:name w:val="Date Char"/>
    <w:basedOn w:val="DefaultParagraphFont"/>
    <w:link w:val="Date"/>
    <w:uiPriority w:val="99"/>
    <w:rsid w:val="00B004AA"/>
    <w:rPr>
      <w:rFonts w:ascii="Constantia" w:hAnsi="Constantia" w:cs="Georgia"/>
      <w:color w:val="0075A2" w:themeColor="accent2" w:themeShade="BF"/>
      <w:sz w:val="24"/>
      <w:szCs w:val="24"/>
    </w:rPr>
  </w:style>
  <w:style w:type="paragraph" w:customStyle="1" w:styleId="ContactDetails">
    <w:name w:val="Contact Details"/>
    <w:basedOn w:val="Normal"/>
    <w:uiPriority w:val="1"/>
    <w:qFormat/>
    <w:rsid w:val="00C503F2"/>
    <w:pPr>
      <w:shd w:val="clear" w:color="auto" w:fill="1B74BC" w:themeFill="accent1"/>
      <w:spacing w:after="120"/>
      <w:jc w:val="center"/>
    </w:pPr>
    <w:rPr>
      <w:b/>
      <w:i/>
      <w:color w:val="FFFFFF"/>
      <w:sz w:val="24"/>
    </w:rPr>
  </w:style>
  <w:style w:type="paragraph" w:customStyle="1" w:styleId="StoryHighlight">
    <w:name w:val="Story Highlight"/>
    <w:basedOn w:val="Normal"/>
    <w:uiPriority w:val="1"/>
    <w:qFormat/>
    <w:rsid w:val="00844B11"/>
    <w:pPr>
      <w:spacing w:line="300" w:lineRule="atLeast"/>
    </w:pPr>
    <w:rPr>
      <w:rFonts w:ascii="Constantia" w:hAnsi="Constantia"/>
      <w:b/>
      <w:i/>
      <w:color w:val="001F5F" w:themeColor="text2"/>
      <w:sz w:val="24"/>
      <w:szCs w:val="20"/>
    </w:rPr>
  </w:style>
  <w:style w:type="paragraph" w:customStyle="1" w:styleId="PhoneEmailWeb">
    <w:name w:val="PhoneEmailWeb"/>
    <w:basedOn w:val="ContactDetails"/>
    <w:uiPriority w:val="1"/>
    <w:qFormat/>
    <w:rsid w:val="00C503F2"/>
    <w:pPr>
      <w:shd w:val="clear" w:color="auto" w:fill="0075A2" w:themeFill="accent2" w:themeFillShade="BF"/>
    </w:pPr>
  </w:style>
  <w:style w:type="paragraph" w:styleId="BalloonText">
    <w:name w:val="Balloon Text"/>
    <w:basedOn w:val="Normal"/>
    <w:link w:val="BalloonTextChar"/>
    <w:uiPriority w:val="99"/>
    <w:semiHidden/>
    <w:unhideWhenUsed/>
    <w:rsid w:val="003F4B2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4B29"/>
    <w:rPr>
      <w:rFonts w:ascii="Segoe UI" w:hAnsi="Segoe UI" w:cs="Segoe UI"/>
      <w:sz w:val="18"/>
      <w:szCs w:val="18"/>
    </w:rPr>
  </w:style>
  <w:style w:type="character" w:styleId="Hyperlink">
    <w:name w:val="Hyperlink"/>
    <w:basedOn w:val="DefaultParagraphFont"/>
    <w:uiPriority w:val="99"/>
    <w:unhideWhenUsed/>
    <w:rsid w:val="003F4B29"/>
    <w:rPr>
      <w:color w:val="0046AD"/>
      <w:u w:val="single"/>
    </w:rPr>
  </w:style>
  <w:style w:type="character" w:styleId="CommentReference">
    <w:name w:val="annotation reference"/>
    <w:basedOn w:val="DefaultParagraphFont"/>
    <w:uiPriority w:val="99"/>
    <w:semiHidden/>
    <w:unhideWhenUsed/>
    <w:rsid w:val="002E1EC1"/>
    <w:rPr>
      <w:sz w:val="16"/>
      <w:szCs w:val="16"/>
    </w:rPr>
  </w:style>
  <w:style w:type="paragraph" w:styleId="CommentText">
    <w:name w:val="annotation text"/>
    <w:basedOn w:val="Normal"/>
    <w:link w:val="CommentTextChar"/>
    <w:uiPriority w:val="99"/>
    <w:semiHidden/>
    <w:unhideWhenUsed/>
    <w:rsid w:val="002E1EC1"/>
    <w:rPr>
      <w:sz w:val="20"/>
      <w:szCs w:val="20"/>
    </w:rPr>
  </w:style>
  <w:style w:type="character" w:customStyle="1" w:styleId="CommentTextChar">
    <w:name w:val="Comment Text Char"/>
    <w:basedOn w:val="DefaultParagraphFont"/>
    <w:link w:val="CommentText"/>
    <w:uiPriority w:val="99"/>
    <w:semiHidden/>
    <w:rsid w:val="002E1EC1"/>
    <w:rPr>
      <w:rFonts w:cs="Georgia"/>
      <w:sz w:val="20"/>
      <w:szCs w:val="20"/>
    </w:rPr>
  </w:style>
  <w:style w:type="paragraph" w:styleId="CommentSubject">
    <w:name w:val="annotation subject"/>
    <w:basedOn w:val="CommentText"/>
    <w:next w:val="CommentText"/>
    <w:link w:val="CommentSubjectChar"/>
    <w:uiPriority w:val="99"/>
    <w:semiHidden/>
    <w:unhideWhenUsed/>
    <w:rsid w:val="002E1EC1"/>
    <w:rPr>
      <w:b/>
      <w:bCs/>
    </w:rPr>
  </w:style>
  <w:style w:type="character" w:customStyle="1" w:styleId="CommentSubjectChar">
    <w:name w:val="Comment Subject Char"/>
    <w:basedOn w:val="CommentTextChar"/>
    <w:link w:val="CommentSubject"/>
    <w:uiPriority w:val="99"/>
    <w:semiHidden/>
    <w:rsid w:val="002E1EC1"/>
    <w:rPr>
      <w:rFonts w:cs="Georgia"/>
      <w:b/>
      <w:bCs/>
      <w:sz w:val="20"/>
      <w:szCs w:val="20"/>
    </w:rPr>
  </w:style>
  <w:style w:type="character" w:styleId="FollowedHyperlink">
    <w:name w:val="FollowedHyperlink"/>
    <w:basedOn w:val="DefaultParagraphFont"/>
    <w:uiPriority w:val="99"/>
    <w:semiHidden/>
    <w:unhideWhenUsed/>
    <w:rsid w:val="00762796"/>
    <w:rPr>
      <w:color w:val="85DFD0" w:themeColor="followedHyperlink"/>
      <w:u w:val="single"/>
    </w:rPr>
  </w:style>
  <w:style w:type="character" w:styleId="UnresolvedMention">
    <w:name w:val="Unresolved Mention"/>
    <w:basedOn w:val="DefaultParagraphFont"/>
    <w:uiPriority w:val="99"/>
    <w:semiHidden/>
    <w:unhideWhenUsed/>
    <w:rsid w:val="00076B79"/>
    <w:rPr>
      <w:color w:val="605E5C"/>
      <w:shd w:val="clear" w:color="auto" w:fill="E1DFDD"/>
    </w:rPr>
  </w:style>
  <w:style w:type="character" w:customStyle="1" w:styleId="Heading3Char">
    <w:name w:val="Heading 3 Char"/>
    <w:basedOn w:val="DefaultParagraphFont"/>
    <w:link w:val="Heading3"/>
    <w:uiPriority w:val="9"/>
    <w:semiHidden/>
    <w:rsid w:val="00421884"/>
    <w:rPr>
      <w:rFonts w:asciiTheme="majorHAnsi" w:eastAsiaTheme="majorEastAsia" w:hAnsiTheme="majorHAnsi" w:cstheme="majorBidi"/>
      <w:color w:val="0D395D" w:themeColor="accent1" w:themeShade="7F"/>
      <w:sz w:val="24"/>
      <w:szCs w:val="24"/>
    </w:rPr>
  </w:style>
  <w:style w:type="paragraph" w:styleId="NormalWeb">
    <w:name w:val="Normal (Web)"/>
    <w:basedOn w:val="Normal"/>
    <w:uiPriority w:val="99"/>
    <w:unhideWhenUsed/>
    <w:rsid w:val="00637FD1"/>
    <w:pPr>
      <w:widowControl/>
      <w:autoSpaceDE/>
      <w:autoSpaceDN/>
      <w:adjustRightInd/>
      <w:spacing w:before="100" w:beforeAutospacing="1" w:after="100" w:afterAutospacing="1"/>
    </w:pPr>
    <w:rPr>
      <w:rFonts w:ascii="Times New Roman" w:hAnsi="Times New Roman" w:cs="Times New Roman"/>
      <w:sz w:val="24"/>
      <w:szCs w:val="24"/>
    </w:rPr>
  </w:style>
  <w:style w:type="paragraph" w:styleId="Revision">
    <w:name w:val="Revision"/>
    <w:hidden/>
    <w:uiPriority w:val="99"/>
    <w:semiHidden/>
    <w:rsid w:val="009F607A"/>
    <w:pPr>
      <w:spacing w:after="0"/>
    </w:pPr>
    <w:rPr>
      <w:rFonts w:cs="Georgia"/>
    </w:rPr>
  </w:style>
  <w:style w:type="paragraph" w:customStyle="1" w:styleId="paragraph">
    <w:name w:val="paragraph"/>
    <w:basedOn w:val="Normal"/>
    <w:rsid w:val="00B8262A"/>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normaltextrun">
    <w:name w:val="normaltextrun"/>
    <w:basedOn w:val="DefaultParagraphFont"/>
    <w:rsid w:val="00B8262A"/>
  </w:style>
  <w:style w:type="character" w:customStyle="1" w:styleId="eop">
    <w:name w:val="eop"/>
    <w:basedOn w:val="DefaultParagraphFont"/>
    <w:rsid w:val="00B826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701032">
      <w:bodyDiv w:val="1"/>
      <w:marLeft w:val="0"/>
      <w:marRight w:val="0"/>
      <w:marTop w:val="0"/>
      <w:marBottom w:val="0"/>
      <w:divBdr>
        <w:top w:val="none" w:sz="0" w:space="0" w:color="auto"/>
        <w:left w:val="none" w:sz="0" w:space="0" w:color="auto"/>
        <w:bottom w:val="none" w:sz="0" w:space="0" w:color="auto"/>
        <w:right w:val="none" w:sz="0" w:space="0" w:color="auto"/>
      </w:divBdr>
    </w:div>
    <w:div w:id="173543880">
      <w:bodyDiv w:val="1"/>
      <w:marLeft w:val="0"/>
      <w:marRight w:val="0"/>
      <w:marTop w:val="0"/>
      <w:marBottom w:val="0"/>
      <w:divBdr>
        <w:top w:val="none" w:sz="0" w:space="0" w:color="auto"/>
        <w:left w:val="none" w:sz="0" w:space="0" w:color="auto"/>
        <w:bottom w:val="none" w:sz="0" w:space="0" w:color="auto"/>
        <w:right w:val="none" w:sz="0" w:space="0" w:color="auto"/>
      </w:divBdr>
    </w:div>
    <w:div w:id="291400775">
      <w:bodyDiv w:val="1"/>
      <w:marLeft w:val="0"/>
      <w:marRight w:val="0"/>
      <w:marTop w:val="0"/>
      <w:marBottom w:val="0"/>
      <w:divBdr>
        <w:top w:val="none" w:sz="0" w:space="0" w:color="auto"/>
        <w:left w:val="none" w:sz="0" w:space="0" w:color="auto"/>
        <w:bottom w:val="none" w:sz="0" w:space="0" w:color="auto"/>
        <w:right w:val="none" w:sz="0" w:space="0" w:color="auto"/>
      </w:divBdr>
    </w:div>
    <w:div w:id="393698241">
      <w:bodyDiv w:val="1"/>
      <w:marLeft w:val="0"/>
      <w:marRight w:val="0"/>
      <w:marTop w:val="0"/>
      <w:marBottom w:val="0"/>
      <w:divBdr>
        <w:top w:val="none" w:sz="0" w:space="0" w:color="auto"/>
        <w:left w:val="none" w:sz="0" w:space="0" w:color="auto"/>
        <w:bottom w:val="none" w:sz="0" w:space="0" w:color="auto"/>
        <w:right w:val="none" w:sz="0" w:space="0" w:color="auto"/>
      </w:divBdr>
    </w:div>
    <w:div w:id="510950548">
      <w:bodyDiv w:val="1"/>
      <w:marLeft w:val="0"/>
      <w:marRight w:val="0"/>
      <w:marTop w:val="0"/>
      <w:marBottom w:val="0"/>
      <w:divBdr>
        <w:top w:val="none" w:sz="0" w:space="0" w:color="auto"/>
        <w:left w:val="none" w:sz="0" w:space="0" w:color="auto"/>
        <w:bottom w:val="none" w:sz="0" w:space="0" w:color="auto"/>
        <w:right w:val="none" w:sz="0" w:space="0" w:color="auto"/>
      </w:divBdr>
    </w:div>
    <w:div w:id="575630342">
      <w:bodyDiv w:val="1"/>
      <w:marLeft w:val="0"/>
      <w:marRight w:val="0"/>
      <w:marTop w:val="0"/>
      <w:marBottom w:val="0"/>
      <w:divBdr>
        <w:top w:val="none" w:sz="0" w:space="0" w:color="auto"/>
        <w:left w:val="none" w:sz="0" w:space="0" w:color="auto"/>
        <w:bottom w:val="none" w:sz="0" w:space="0" w:color="auto"/>
        <w:right w:val="none" w:sz="0" w:space="0" w:color="auto"/>
      </w:divBdr>
    </w:div>
    <w:div w:id="655911998">
      <w:bodyDiv w:val="1"/>
      <w:marLeft w:val="0"/>
      <w:marRight w:val="0"/>
      <w:marTop w:val="0"/>
      <w:marBottom w:val="0"/>
      <w:divBdr>
        <w:top w:val="none" w:sz="0" w:space="0" w:color="auto"/>
        <w:left w:val="none" w:sz="0" w:space="0" w:color="auto"/>
        <w:bottom w:val="none" w:sz="0" w:space="0" w:color="auto"/>
        <w:right w:val="none" w:sz="0" w:space="0" w:color="auto"/>
      </w:divBdr>
    </w:div>
    <w:div w:id="659892040">
      <w:bodyDiv w:val="1"/>
      <w:marLeft w:val="0"/>
      <w:marRight w:val="0"/>
      <w:marTop w:val="0"/>
      <w:marBottom w:val="0"/>
      <w:divBdr>
        <w:top w:val="none" w:sz="0" w:space="0" w:color="auto"/>
        <w:left w:val="none" w:sz="0" w:space="0" w:color="auto"/>
        <w:bottom w:val="none" w:sz="0" w:space="0" w:color="auto"/>
        <w:right w:val="none" w:sz="0" w:space="0" w:color="auto"/>
      </w:divBdr>
    </w:div>
    <w:div w:id="801266997">
      <w:bodyDiv w:val="1"/>
      <w:marLeft w:val="0"/>
      <w:marRight w:val="0"/>
      <w:marTop w:val="0"/>
      <w:marBottom w:val="0"/>
      <w:divBdr>
        <w:top w:val="none" w:sz="0" w:space="0" w:color="auto"/>
        <w:left w:val="none" w:sz="0" w:space="0" w:color="auto"/>
        <w:bottom w:val="none" w:sz="0" w:space="0" w:color="auto"/>
        <w:right w:val="none" w:sz="0" w:space="0" w:color="auto"/>
      </w:divBdr>
    </w:div>
    <w:div w:id="808741269">
      <w:bodyDiv w:val="1"/>
      <w:marLeft w:val="0"/>
      <w:marRight w:val="0"/>
      <w:marTop w:val="0"/>
      <w:marBottom w:val="0"/>
      <w:divBdr>
        <w:top w:val="none" w:sz="0" w:space="0" w:color="auto"/>
        <w:left w:val="none" w:sz="0" w:space="0" w:color="auto"/>
        <w:bottom w:val="none" w:sz="0" w:space="0" w:color="auto"/>
        <w:right w:val="none" w:sz="0" w:space="0" w:color="auto"/>
      </w:divBdr>
    </w:div>
    <w:div w:id="846597413">
      <w:bodyDiv w:val="1"/>
      <w:marLeft w:val="0"/>
      <w:marRight w:val="0"/>
      <w:marTop w:val="0"/>
      <w:marBottom w:val="0"/>
      <w:divBdr>
        <w:top w:val="none" w:sz="0" w:space="0" w:color="auto"/>
        <w:left w:val="none" w:sz="0" w:space="0" w:color="auto"/>
        <w:bottom w:val="none" w:sz="0" w:space="0" w:color="auto"/>
        <w:right w:val="none" w:sz="0" w:space="0" w:color="auto"/>
      </w:divBdr>
    </w:div>
    <w:div w:id="887760951">
      <w:bodyDiv w:val="1"/>
      <w:marLeft w:val="0"/>
      <w:marRight w:val="0"/>
      <w:marTop w:val="0"/>
      <w:marBottom w:val="0"/>
      <w:divBdr>
        <w:top w:val="none" w:sz="0" w:space="0" w:color="auto"/>
        <w:left w:val="none" w:sz="0" w:space="0" w:color="auto"/>
        <w:bottom w:val="none" w:sz="0" w:space="0" w:color="auto"/>
        <w:right w:val="none" w:sz="0" w:space="0" w:color="auto"/>
      </w:divBdr>
    </w:div>
    <w:div w:id="896816316">
      <w:bodyDiv w:val="1"/>
      <w:marLeft w:val="0"/>
      <w:marRight w:val="0"/>
      <w:marTop w:val="0"/>
      <w:marBottom w:val="0"/>
      <w:divBdr>
        <w:top w:val="none" w:sz="0" w:space="0" w:color="auto"/>
        <w:left w:val="none" w:sz="0" w:space="0" w:color="auto"/>
        <w:bottom w:val="none" w:sz="0" w:space="0" w:color="auto"/>
        <w:right w:val="none" w:sz="0" w:space="0" w:color="auto"/>
      </w:divBdr>
    </w:div>
    <w:div w:id="954022445">
      <w:bodyDiv w:val="1"/>
      <w:marLeft w:val="0"/>
      <w:marRight w:val="0"/>
      <w:marTop w:val="0"/>
      <w:marBottom w:val="0"/>
      <w:divBdr>
        <w:top w:val="none" w:sz="0" w:space="0" w:color="auto"/>
        <w:left w:val="none" w:sz="0" w:space="0" w:color="auto"/>
        <w:bottom w:val="none" w:sz="0" w:space="0" w:color="auto"/>
        <w:right w:val="none" w:sz="0" w:space="0" w:color="auto"/>
      </w:divBdr>
    </w:div>
    <w:div w:id="1037849843">
      <w:bodyDiv w:val="1"/>
      <w:marLeft w:val="0"/>
      <w:marRight w:val="0"/>
      <w:marTop w:val="0"/>
      <w:marBottom w:val="0"/>
      <w:divBdr>
        <w:top w:val="none" w:sz="0" w:space="0" w:color="auto"/>
        <w:left w:val="none" w:sz="0" w:space="0" w:color="auto"/>
        <w:bottom w:val="none" w:sz="0" w:space="0" w:color="auto"/>
        <w:right w:val="none" w:sz="0" w:space="0" w:color="auto"/>
      </w:divBdr>
      <w:divsChild>
        <w:div w:id="1187983289">
          <w:marLeft w:val="0"/>
          <w:marRight w:val="0"/>
          <w:marTop w:val="0"/>
          <w:marBottom w:val="0"/>
          <w:divBdr>
            <w:top w:val="none" w:sz="0" w:space="0" w:color="auto"/>
            <w:left w:val="none" w:sz="0" w:space="0" w:color="auto"/>
            <w:bottom w:val="none" w:sz="0" w:space="0" w:color="auto"/>
            <w:right w:val="none" w:sz="0" w:space="0" w:color="auto"/>
          </w:divBdr>
        </w:div>
        <w:div w:id="1777752409">
          <w:marLeft w:val="0"/>
          <w:marRight w:val="0"/>
          <w:marTop w:val="0"/>
          <w:marBottom w:val="0"/>
          <w:divBdr>
            <w:top w:val="none" w:sz="0" w:space="0" w:color="auto"/>
            <w:left w:val="none" w:sz="0" w:space="0" w:color="auto"/>
            <w:bottom w:val="none" w:sz="0" w:space="0" w:color="auto"/>
            <w:right w:val="none" w:sz="0" w:space="0" w:color="auto"/>
          </w:divBdr>
        </w:div>
      </w:divsChild>
    </w:div>
    <w:div w:id="1071149246">
      <w:bodyDiv w:val="1"/>
      <w:marLeft w:val="0"/>
      <w:marRight w:val="0"/>
      <w:marTop w:val="0"/>
      <w:marBottom w:val="0"/>
      <w:divBdr>
        <w:top w:val="none" w:sz="0" w:space="0" w:color="auto"/>
        <w:left w:val="none" w:sz="0" w:space="0" w:color="auto"/>
        <w:bottom w:val="none" w:sz="0" w:space="0" w:color="auto"/>
        <w:right w:val="none" w:sz="0" w:space="0" w:color="auto"/>
      </w:divBdr>
    </w:div>
    <w:div w:id="1082263506">
      <w:bodyDiv w:val="1"/>
      <w:marLeft w:val="0"/>
      <w:marRight w:val="0"/>
      <w:marTop w:val="0"/>
      <w:marBottom w:val="0"/>
      <w:divBdr>
        <w:top w:val="none" w:sz="0" w:space="0" w:color="auto"/>
        <w:left w:val="none" w:sz="0" w:space="0" w:color="auto"/>
        <w:bottom w:val="none" w:sz="0" w:space="0" w:color="auto"/>
        <w:right w:val="none" w:sz="0" w:space="0" w:color="auto"/>
      </w:divBdr>
    </w:div>
    <w:div w:id="1150944147">
      <w:bodyDiv w:val="1"/>
      <w:marLeft w:val="0"/>
      <w:marRight w:val="0"/>
      <w:marTop w:val="0"/>
      <w:marBottom w:val="0"/>
      <w:divBdr>
        <w:top w:val="none" w:sz="0" w:space="0" w:color="auto"/>
        <w:left w:val="none" w:sz="0" w:space="0" w:color="auto"/>
        <w:bottom w:val="none" w:sz="0" w:space="0" w:color="auto"/>
        <w:right w:val="none" w:sz="0" w:space="0" w:color="auto"/>
      </w:divBdr>
    </w:div>
    <w:div w:id="1357384376">
      <w:bodyDiv w:val="1"/>
      <w:marLeft w:val="0"/>
      <w:marRight w:val="0"/>
      <w:marTop w:val="0"/>
      <w:marBottom w:val="0"/>
      <w:divBdr>
        <w:top w:val="none" w:sz="0" w:space="0" w:color="auto"/>
        <w:left w:val="none" w:sz="0" w:space="0" w:color="auto"/>
        <w:bottom w:val="none" w:sz="0" w:space="0" w:color="auto"/>
        <w:right w:val="none" w:sz="0" w:space="0" w:color="auto"/>
      </w:divBdr>
    </w:div>
    <w:div w:id="1449857271">
      <w:bodyDiv w:val="1"/>
      <w:marLeft w:val="0"/>
      <w:marRight w:val="0"/>
      <w:marTop w:val="0"/>
      <w:marBottom w:val="0"/>
      <w:divBdr>
        <w:top w:val="none" w:sz="0" w:space="0" w:color="auto"/>
        <w:left w:val="none" w:sz="0" w:space="0" w:color="auto"/>
        <w:bottom w:val="none" w:sz="0" w:space="0" w:color="auto"/>
        <w:right w:val="none" w:sz="0" w:space="0" w:color="auto"/>
      </w:divBdr>
    </w:div>
    <w:div w:id="1483307834">
      <w:bodyDiv w:val="1"/>
      <w:marLeft w:val="0"/>
      <w:marRight w:val="0"/>
      <w:marTop w:val="0"/>
      <w:marBottom w:val="0"/>
      <w:divBdr>
        <w:top w:val="none" w:sz="0" w:space="0" w:color="auto"/>
        <w:left w:val="none" w:sz="0" w:space="0" w:color="auto"/>
        <w:bottom w:val="none" w:sz="0" w:space="0" w:color="auto"/>
        <w:right w:val="none" w:sz="0" w:space="0" w:color="auto"/>
      </w:divBdr>
      <w:divsChild>
        <w:div w:id="159542543">
          <w:marLeft w:val="0"/>
          <w:marRight w:val="0"/>
          <w:marTop w:val="0"/>
          <w:marBottom w:val="0"/>
          <w:divBdr>
            <w:top w:val="none" w:sz="0" w:space="0" w:color="auto"/>
            <w:left w:val="none" w:sz="0" w:space="0" w:color="auto"/>
            <w:bottom w:val="none" w:sz="0" w:space="0" w:color="auto"/>
            <w:right w:val="none" w:sz="0" w:space="0" w:color="auto"/>
          </w:divBdr>
        </w:div>
        <w:div w:id="1915816586">
          <w:marLeft w:val="0"/>
          <w:marRight w:val="0"/>
          <w:marTop w:val="0"/>
          <w:marBottom w:val="0"/>
          <w:divBdr>
            <w:top w:val="none" w:sz="0" w:space="0" w:color="auto"/>
            <w:left w:val="none" w:sz="0" w:space="0" w:color="auto"/>
            <w:bottom w:val="none" w:sz="0" w:space="0" w:color="auto"/>
            <w:right w:val="none" w:sz="0" w:space="0" w:color="auto"/>
          </w:divBdr>
        </w:div>
        <w:div w:id="1567062404">
          <w:marLeft w:val="0"/>
          <w:marRight w:val="0"/>
          <w:marTop w:val="0"/>
          <w:marBottom w:val="0"/>
          <w:divBdr>
            <w:top w:val="none" w:sz="0" w:space="0" w:color="auto"/>
            <w:left w:val="none" w:sz="0" w:space="0" w:color="auto"/>
            <w:bottom w:val="none" w:sz="0" w:space="0" w:color="auto"/>
            <w:right w:val="none" w:sz="0" w:space="0" w:color="auto"/>
          </w:divBdr>
        </w:div>
        <w:div w:id="1934971220">
          <w:marLeft w:val="0"/>
          <w:marRight w:val="0"/>
          <w:marTop w:val="0"/>
          <w:marBottom w:val="0"/>
          <w:divBdr>
            <w:top w:val="none" w:sz="0" w:space="0" w:color="auto"/>
            <w:left w:val="none" w:sz="0" w:space="0" w:color="auto"/>
            <w:bottom w:val="none" w:sz="0" w:space="0" w:color="auto"/>
            <w:right w:val="none" w:sz="0" w:space="0" w:color="auto"/>
          </w:divBdr>
        </w:div>
        <w:div w:id="855459840">
          <w:marLeft w:val="0"/>
          <w:marRight w:val="0"/>
          <w:marTop w:val="0"/>
          <w:marBottom w:val="0"/>
          <w:divBdr>
            <w:top w:val="none" w:sz="0" w:space="0" w:color="auto"/>
            <w:left w:val="none" w:sz="0" w:space="0" w:color="auto"/>
            <w:bottom w:val="none" w:sz="0" w:space="0" w:color="auto"/>
            <w:right w:val="none" w:sz="0" w:space="0" w:color="auto"/>
          </w:divBdr>
        </w:div>
        <w:div w:id="1598440362">
          <w:marLeft w:val="0"/>
          <w:marRight w:val="0"/>
          <w:marTop w:val="0"/>
          <w:marBottom w:val="0"/>
          <w:divBdr>
            <w:top w:val="none" w:sz="0" w:space="0" w:color="auto"/>
            <w:left w:val="none" w:sz="0" w:space="0" w:color="auto"/>
            <w:bottom w:val="none" w:sz="0" w:space="0" w:color="auto"/>
            <w:right w:val="none" w:sz="0" w:space="0" w:color="auto"/>
          </w:divBdr>
          <w:divsChild>
            <w:div w:id="1274677436">
              <w:marLeft w:val="0"/>
              <w:marRight w:val="0"/>
              <w:marTop w:val="0"/>
              <w:marBottom w:val="0"/>
              <w:divBdr>
                <w:top w:val="none" w:sz="0" w:space="0" w:color="auto"/>
                <w:left w:val="none" w:sz="0" w:space="0" w:color="auto"/>
                <w:bottom w:val="none" w:sz="0" w:space="0" w:color="auto"/>
                <w:right w:val="none" w:sz="0" w:space="0" w:color="auto"/>
              </w:divBdr>
            </w:div>
            <w:div w:id="279721890">
              <w:marLeft w:val="0"/>
              <w:marRight w:val="0"/>
              <w:marTop w:val="0"/>
              <w:marBottom w:val="0"/>
              <w:divBdr>
                <w:top w:val="none" w:sz="0" w:space="0" w:color="auto"/>
                <w:left w:val="none" w:sz="0" w:space="0" w:color="auto"/>
                <w:bottom w:val="none" w:sz="0" w:space="0" w:color="auto"/>
                <w:right w:val="none" w:sz="0" w:space="0" w:color="auto"/>
              </w:divBdr>
            </w:div>
            <w:div w:id="1770808998">
              <w:marLeft w:val="0"/>
              <w:marRight w:val="0"/>
              <w:marTop w:val="0"/>
              <w:marBottom w:val="0"/>
              <w:divBdr>
                <w:top w:val="none" w:sz="0" w:space="0" w:color="auto"/>
                <w:left w:val="none" w:sz="0" w:space="0" w:color="auto"/>
                <w:bottom w:val="none" w:sz="0" w:space="0" w:color="auto"/>
                <w:right w:val="none" w:sz="0" w:space="0" w:color="auto"/>
              </w:divBdr>
            </w:div>
            <w:div w:id="220139593">
              <w:marLeft w:val="0"/>
              <w:marRight w:val="0"/>
              <w:marTop w:val="0"/>
              <w:marBottom w:val="0"/>
              <w:divBdr>
                <w:top w:val="none" w:sz="0" w:space="0" w:color="auto"/>
                <w:left w:val="none" w:sz="0" w:space="0" w:color="auto"/>
                <w:bottom w:val="none" w:sz="0" w:space="0" w:color="auto"/>
                <w:right w:val="none" w:sz="0" w:space="0" w:color="auto"/>
              </w:divBdr>
            </w:div>
            <w:div w:id="2050372507">
              <w:marLeft w:val="0"/>
              <w:marRight w:val="0"/>
              <w:marTop w:val="0"/>
              <w:marBottom w:val="0"/>
              <w:divBdr>
                <w:top w:val="none" w:sz="0" w:space="0" w:color="auto"/>
                <w:left w:val="none" w:sz="0" w:space="0" w:color="auto"/>
                <w:bottom w:val="none" w:sz="0" w:space="0" w:color="auto"/>
                <w:right w:val="none" w:sz="0" w:space="0" w:color="auto"/>
              </w:divBdr>
            </w:div>
          </w:divsChild>
        </w:div>
        <w:div w:id="1037582146">
          <w:marLeft w:val="0"/>
          <w:marRight w:val="0"/>
          <w:marTop w:val="0"/>
          <w:marBottom w:val="0"/>
          <w:divBdr>
            <w:top w:val="none" w:sz="0" w:space="0" w:color="auto"/>
            <w:left w:val="none" w:sz="0" w:space="0" w:color="auto"/>
            <w:bottom w:val="none" w:sz="0" w:space="0" w:color="auto"/>
            <w:right w:val="none" w:sz="0" w:space="0" w:color="auto"/>
          </w:divBdr>
          <w:divsChild>
            <w:div w:id="1522431626">
              <w:marLeft w:val="0"/>
              <w:marRight w:val="0"/>
              <w:marTop w:val="0"/>
              <w:marBottom w:val="0"/>
              <w:divBdr>
                <w:top w:val="none" w:sz="0" w:space="0" w:color="auto"/>
                <w:left w:val="none" w:sz="0" w:space="0" w:color="auto"/>
                <w:bottom w:val="none" w:sz="0" w:space="0" w:color="auto"/>
                <w:right w:val="none" w:sz="0" w:space="0" w:color="auto"/>
              </w:divBdr>
            </w:div>
            <w:div w:id="104375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489502">
      <w:bodyDiv w:val="1"/>
      <w:marLeft w:val="0"/>
      <w:marRight w:val="0"/>
      <w:marTop w:val="0"/>
      <w:marBottom w:val="0"/>
      <w:divBdr>
        <w:top w:val="none" w:sz="0" w:space="0" w:color="auto"/>
        <w:left w:val="none" w:sz="0" w:space="0" w:color="auto"/>
        <w:bottom w:val="none" w:sz="0" w:space="0" w:color="auto"/>
        <w:right w:val="none" w:sz="0" w:space="0" w:color="auto"/>
      </w:divBdr>
    </w:div>
    <w:div w:id="1604652271">
      <w:bodyDiv w:val="1"/>
      <w:marLeft w:val="0"/>
      <w:marRight w:val="0"/>
      <w:marTop w:val="0"/>
      <w:marBottom w:val="0"/>
      <w:divBdr>
        <w:top w:val="none" w:sz="0" w:space="0" w:color="auto"/>
        <w:left w:val="none" w:sz="0" w:space="0" w:color="auto"/>
        <w:bottom w:val="none" w:sz="0" w:space="0" w:color="auto"/>
        <w:right w:val="none" w:sz="0" w:space="0" w:color="auto"/>
      </w:divBdr>
    </w:div>
    <w:div w:id="1842236559">
      <w:bodyDiv w:val="1"/>
      <w:marLeft w:val="0"/>
      <w:marRight w:val="0"/>
      <w:marTop w:val="0"/>
      <w:marBottom w:val="0"/>
      <w:divBdr>
        <w:top w:val="none" w:sz="0" w:space="0" w:color="auto"/>
        <w:left w:val="none" w:sz="0" w:space="0" w:color="auto"/>
        <w:bottom w:val="none" w:sz="0" w:space="0" w:color="auto"/>
        <w:right w:val="none" w:sz="0" w:space="0" w:color="auto"/>
      </w:divBdr>
      <w:divsChild>
        <w:div w:id="31612299">
          <w:marLeft w:val="0"/>
          <w:marRight w:val="0"/>
          <w:marTop w:val="0"/>
          <w:marBottom w:val="0"/>
          <w:divBdr>
            <w:top w:val="none" w:sz="0" w:space="0" w:color="auto"/>
            <w:left w:val="none" w:sz="0" w:space="0" w:color="auto"/>
            <w:bottom w:val="none" w:sz="0" w:space="0" w:color="auto"/>
            <w:right w:val="none" w:sz="0" w:space="0" w:color="auto"/>
          </w:divBdr>
          <w:divsChild>
            <w:div w:id="767385771">
              <w:marLeft w:val="0"/>
              <w:marRight w:val="0"/>
              <w:marTop w:val="0"/>
              <w:marBottom w:val="0"/>
              <w:divBdr>
                <w:top w:val="none" w:sz="0" w:space="0" w:color="auto"/>
                <w:left w:val="none" w:sz="0" w:space="0" w:color="auto"/>
                <w:bottom w:val="none" w:sz="0" w:space="0" w:color="auto"/>
                <w:right w:val="none" w:sz="0" w:space="0" w:color="auto"/>
              </w:divBdr>
            </w:div>
            <w:div w:id="389964822">
              <w:marLeft w:val="0"/>
              <w:marRight w:val="0"/>
              <w:marTop w:val="0"/>
              <w:marBottom w:val="0"/>
              <w:divBdr>
                <w:top w:val="none" w:sz="0" w:space="0" w:color="auto"/>
                <w:left w:val="none" w:sz="0" w:space="0" w:color="auto"/>
                <w:bottom w:val="none" w:sz="0" w:space="0" w:color="auto"/>
                <w:right w:val="none" w:sz="0" w:space="0" w:color="auto"/>
              </w:divBdr>
            </w:div>
            <w:div w:id="2034572904">
              <w:marLeft w:val="0"/>
              <w:marRight w:val="0"/>
              <w:marTop w:val="0"/>
              <w:marBottom w:val="0"/>
              <w:divBdr>
                <w:top w:val="none" w:sz="0" w:space="0" w:color="auto"/>
                <w:left w:val="none" w:sz="0" w:space="0" w:color="auto"/>
                <w:bottom w:val="none" w:sz="0" w:space="0" w:color="auto"/>
                <w:right w:val="none" w:sz="0" w:space="0" w:color="auto"/>
              </w:divBdr>
            </w:div>
          </w:divsChild>
        </w:div>
        <w:div w:id="774715335">
          <w:marLeft w:val="0"/>
          <w:marRight w:val="0"/>
          <w:marTop w:val="0"/>
          <w:marBottom w:val="0"/>
          <w:divBdr>
            <w:top w:val="none" w:sz="0" w:space="0" w:color="auto"/>
            <w:left w:val="none" w:sz="0" w:space="0" w:color="auto"/>
            <w:bottom w:val="none" w:sz="0" w:space="0" w:color="auto"/>
            <w:right w:val="none" w:sz="0" w:space="0" w:color="auto"/>
          </w:divBdr>
          <w:divsChild>
            <w:div w:id="1020207058">
              <w:marLeft w:val="0"/>
              <w:marRight w:val="0"/>
              <w:marTop w:val="0"/>
              <w:marBottom w:val="0"/>
              <w:divBdr>
                <w:top w:val="none" w:sz="0" w:space="0" w:color="auto"/>
                <w:left w:val="none" w:sz="0" w:space="0" w:color="auto"/>
                <w:bottom w:val="none" w:sz="0" w:space="0" w:color="auto"/>
                <w:right w:val="none" w:sz="0" w:space="0" w:color="auto"/>
              </w:divBdr>
            </w:div>
            <w:div w:id="1077553553">
              <w:marLeft w:val="0"/>
              <w:marRight w:val="0"/>
              <w:marTop w:val="0"/>
              <w:marBottom w:val="0"/>
              <w:divBdr>
                <w:top w:val="none" w:sz="0" w:space="0" w:color="auto"/>
                <w:left w:val="none" w:sz="0" w:space="0" w:color="auto"/>
                <w:bottom w:val="none" w:sz="0" w:space="0" w:color="auto"/>
                <w:right w:val="none" w:sz="0" w:space="0" w:color="auto"/>
              </w:divBdr>
            </w:div>
            <w:div w:id="678040651">
              <w:marLeft w:val="0"/>
              <w:marRight w:val="0"/>
              <w:marTop w:val="0"/>
              <w:marBottom w:val="0"/>
              <w:divBdr>
                <w:top w:val="none" w:sz="0" w:space="0" w:color="auto"/>
                <w:left w:val="none" w:sz="0" w:space="0" w:color="auto"/>
                <w:bottom w:val="none" w:sz="0" w:space="0" w:color="auto"/>
                <w:right w:val="none" w:sz="0" w:space="0" w:color="auto"/>
              </w:divBdr>
            </w:div>
            <w:div w:id="179391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601027">
      <w:bodyDiv w:val="1"/>
      <w:marLeft w:val="0"/>
      <w:marRight w:val="0"/>
      <w:marTop w:val="0"/>
      <w:marBottom w:val="0"/>
      <w:divBdr>
        <w:top w:val="none" w:sz="0" w:space="0" w:color="auto"/>
        <w:left w:val="none" w:sz="0" w:space="0" w:color="auto"/>
        <w:bottom w:val="none" w:sz="0" w:space="0" w:color="auto"/>
        <w:right w:val="none" w:sz="0" w:space="0" w:color="auto"/>
      </w:divBdr>
    </w:div>
    <w:div w:id="2041399182">
      <w:bodyDiv w:val="1"/>
      <w:marLeft w:val="0"/>
      <w:marRight w:val="0"/>
      <w:marTop w:val="0"/>
      <w:marBottom w:val="0"/>
      <w:divBdr>
        <w:top w:val="none" w:sz="0" w:space="0" w:color="auto"/>
        <w:left w:val="none" w:sz="0" w:space="0" w:color="auto"/>
        <w:bottom w:val="none" w:sz="0" w:space="0" w:color="auto"/>
        <w:right w:val="none" w:sz="0" w:space="0" w:color="auto"/>
      </w:divBdr>
    </w:div>
    <w:div w:id="21101948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icpa.org/content/dam/aicpa/interestareas/peerreview/community/peerreviewboard/meetingminutes/downloadabledocuments/20200902-prb-open-highlights.pdf" TargetMode="External"/><Relationship Id="rId18" Type="http://schemas.openxmlformats.org/officeDocument/2006/relationships/hyperlink" Target="https://www.journalofaccountancy.com/news/2020/nov/revenue-recognition-tips-for-successful-auditing.html?utm_source=mnl:cpald&amp;utm_medium=email&amp;utm_campaign=04Nov2020" TargetMode="External"/><Relationship Id="rId26" Type="http://schemas.openxmlformats.org/officeDocument/2006/relationships/hyperlink" Target="https://www.aicpa.org/news/aicpa-coronavirus-resource-center.html" TargetMode="External"/><Relationship Id="rId39" Type="http://schemas.openxmlformats.org/officeDocument/2006/relationships/image" Target="media/image3.jpeg"/><Relationship Id="rId21" Type="http://schemas.openxmlformats.org/officeDocument/2006/relationships/hyperlink" Target="https://www.aicpa.org/eaq" TargetMode="External"/><Relationship Id="rId34" Type="http://schemas.openxmlformats.org/officeDocument/2006/relationships/header" Target="header3.xml"/><Relationship Id="rId42" Type="http://schemas.openxmlformats.org/officeDocument/2006/relationships/hyperlink" Target="https://www.ethicsboard.org/publications/using-specialists-covid-19-environment" TargetMode="External"/><Relationship Id="rId47" Type="http://schemas.openxmlformats.org/officeDocument/2006/relationships/hyperlink" Target="https://www.aicpa.org/content/dam/aicpa/interestareas/professionalethics/resources/tools/downloadabledocuments/common-deficiencies-report-govt-and-nfp-final.pdf" TargetMode="External"/><Relationship Id="rId50" Type="http://schemas.openxmlformats.org/officeDocument/2006/relationships/hyperlink" Target="https://www.surveymonkey.co.uk/r/Entityaffiliateevaluator" TargetMode="External"/><Relationship Id="rId55"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aicpa.org/content/dam/aicpa/interestareas/peerreview/newsandpublications/downloadabledocuments/reviewer-alert-202008.pdf" TargetMode="External"/><Relationship Id="rId17" Type="http://schemas.openxmlformats.org/officeDocument/2006/relationships/image" Target="media/image1.png"/><Relationship Id="rId25" Type="http://schemas.openxmlformats.org/officeDocument/2006/relationships/hyperlink" Target="https://blog.aicpa.org/2020/07/key-risks-when-auditing-a-not-for-profit-during-the-pandemic.html" TargetMode="External"/><Relationship Id="rId33" Type="http://schemas.openxmlformats.org/officeDocument/2006/relationships/footer" Target="footer2.xml"/><Relationship Id="rId38" Type="http://schemas.openxmlformats.org/officeDocument/2006/relationships/hyperlink" Target="https://www.aicpa.org/press/pressreleases/2020/updated-aicpa-digital-assets-practice-aid.html" TargetMode="External"/><Relationship Id="rId46" Type="http://schemas.openxmlformats.org/officeDocument/2006/relationships/hyperlink" Target="https://www.aicpa.org/content/dam/aicpa/interestareas/professionalethics/resources/tools/downloadabledocuments/frequent-dol-violations-final.pdf" TargetMode="External"/><Relationship Id="rId2" Type="http://schemas.openxmlformats.org/officeDocument/2006/relationships/customXml" Target="../customXml/item2.xml"/><Relationship Id="rId16" Type="http://schemas.openxmlformats.org/officeDocument/2006/relationships/hyperlink" Target="https://www.journalofaccountancy.com/news/2020/jun/key-coronavirus-audit-risks-for-2020-year-ends.html" TargetMode="External"/><Relationship Id="rId20" Type="http://schemas.openxmlformats.org/officeDocument/2006/relationships/hyperlink" Target="https://www.journalofaccountancy.com/news/2020/may/auditing-during-coronavirus-pandemic-quiz.html" TargetMode="External"/><Relationship Id="rId29" Type="http://schemas.openxmlformats.org/officeDocument/2006/relationships/image" Target="media/image2.png"/><Relationship Id="rId41" Type="http://schemas.openxmlformats.org/officeDocument/2006/relationships/hyperlink" Target="https://www.aicpa.org/interestareas/peerreview/resources/faqs.html" TargetMode="External"/><Relationship Id="rId54" Type="http://schemas.openxmlformats.org/officeDocument/2006/relationships/hyperlink" Target="http://www.aicpa.org/PEECmeetin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rima.aicpa.org/prweb/sso1?pyActivity=@baseclass.KMDisplayHelpPortal&amp;KMHelpSiteName=PR%20Staff%20Helpsite&amp;FromWSS=true&amp;ArticleID=KC-69" TargetMode="External"/><Relationship Id="rId24" Type="http://schemas.openxmlformats.org/officeDocument/2006/relationships/hyperlink" Target="https://future.aicpa.org/resources/download/auditors-report-flowchart" TargetMode="External"/><Relationship Id="rId32" Type="http://schemas.openxmlformats.org/officeDocument/2006/relationships/footer" Target="footer1.xml"/><Relationship Id="rId37" Type="http://schemas.openxmlformats.org/officeDocument/2006/relationships/hyperlink" Target="https://www.aicpa.org/press/pressreleases/2019/aicpa-working-group-tackles-digital-assets-in-a-new-practice-aid.html" TargetMode="External"/><Relationship Id="rId40" Type="http://schemas.openxmlformats.org/officeDocument/2006/relationships/hyperlink" Target="https://www.aicpa.org/content/dam/aicpa/interestareas/peerreview/community/peerreviewers/downloadabledocuments/matters-in-pr.pdf" TargetMode="External"/><Relationship Id="rId45" Type="http://schemas.openxmlformats.org/officeDocument/2006/relationships/hyperlink" Target="https://forms.office.com/Pages/ResponsePage.aspx?id=YeJEqynjJ0O73RelR4ImoYURDcFoX7FEi5nmMWDCnv5UMzdGUVlIMDAwT0ZCUDNIUDg1QzQ5TkxMWS4u" TargetMode="External"/><Relationship Id="rId53" Type="http://schemas.openxmlformats.org/officeDocument/2006/relationships/hyperlink" Target="https://www.aicpa.org/ethicallyspeaking" TargetMode="External"/><Relationship Id="rId5" Type="http://schemas.openxmlformats.org/officeDocument/2006/relationships/numbering" Target="numbering.xml"/><Relationship Id="rId15" Type="http://schemas.openxmlformats.org/officeDocument/2006/relationships/hyperlink" Target="https://www.gao.gov/assets/710/708718.pdf" TargetMode="External"/><Relationship Id="rId23" Type="http://schemas.openxmlformats.org/officeDocument/2006/relationships/hyperlink" Target="https://future.aicpa.org/resources/download/covid-audit-staff-training-presentation" TargetMode="External"/><Relationship Id="rId28" Type="http://schemas.openxmlformats.org/officeDocument/2006/relationships/hyperlink" Target="https://future.aicpa.org/cpe-learning/webcast/risk-assessment-during-the-recovery" TargetMode="External"/><Relationship Id="rId36" Type="http://schemas.openxmlformats.org/officeDocument/2006/relationships/hyperlink" Target="http://www.aicpa.org/digitalassets" TargetMode="External"/><Relationship Id="rId49" Type="http://schemas.openxmlformats.org/officeDocument/2006/relationships/hyperlink" Target="https://www.aicpa.org/content/dam/aicpa/interestareas/professionalethics/resources/downloadabledocuments/toolkitsandaids/implementation-guide-state-and-local-government-client-affiliates.pdf" TargetMode="External"/><Relationship Id="rId10" Type="http://schemas.openxmlformats.org/officeDocument/2006/relationships/endnotes" Target="endnotes.xml"/><Relationship Id="rId19" Type="http://schemas.openxmlformats.org/officeDocument/2006/relationships/hyperlink" Target="https://www.journalofaccountancy.com/news/2020/jun/handling-nondisclosure-compilations-coronavirus-pandemic.html?utm_source=mnl:cpald&amp;utm_medium=email&amp;utm_campaign=29Jun2020" TargetMode="External"/><Relationship Id="rId31" Type="http://schemas.openxmlformats.org/officeDocument/2006/relationships/header" Target="header2.xml"/><Relationship Id="rId44" Type="http://schemas.openxmlformats.org/officeDocument/2006/relationships/hyperlink" Target="mailto:ethics-exposuredraft@aicpa.org" TargetMode="External"/><Relationship Id="rId52" Type="http://schemas.openxmlformats.org/officeDocument/2006/relationships/hyperlink" Target="https://www.aicpa.org/content/dam/aicpa/interestareas/professionalethics/resources/downloadabledocuments/toolkitsandaids/interactive-slg-affiliate-matrix.xlt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icpa.org/interestareas/governmentalauditquality/resources/singleaudit/uniformguidanceforfederalrewards.html" TargetMode="External"/><Relationship Id="rId22" Type="http://schemas.openxmlformats.org/officeDocument/2006/relationships/hyperlink" Target="https://future.aicpa.org/topic/audit-assurance/covid-19-audit-assurance" TargetMode="External"/><Relationship Id="rId27" Type="http://schemas.openxmlformats.org/officeDocument/2006/relationships/hyperlink" Target="https://www.aicpa.org/interestareas/frc/accountingfinancialreporting/revenuerecognition.html?cid=referral:KIMG:January:learnmore:aicpa&amp;utm_medium=referral&amp;utm_source=KIMG&amp;utm_campaign=April&amp;utm_content=learnmore" TargetMode="External"/><Relationship Id="rId30" Type="http://schemas.openxmlformats.org/officeDocument/2006/relationships/header" Target="header1.xml"/><Relationship Id="rId35" Type="http://schemas.openxmlformats.org/officeDocument/2006/relationships/footer" Target="footer3.xml"/><Relationship Id="rId43" Type="http://schemas.openxmlformats.org/officeDocument/2006/relationships/hyperlink" Target="https://www.aicpa.org/content/dam/aicpa/interestareas/professionalethics/community/exposuredrafts/downloadabledocuments/2020/20200908-staff-augmentation-ed.pdf" TargetMode="External"/><Relationship Id="rId48" Type="http://schemas.openxmlformats.org/officeDocument/2006/relationships/hyperlink" Target="https://www.aicpa.org/interestareas/professionalethics/plain-english-guide.html" TargetMode="External"/><Relationship Id="rId56"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s://www.surveymonkey.co.uk/r/Investmentaffiliateevaluator" TargetMode="External"/><Relationship Id="rId3"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bare\AppData\Roaming\Microsoft\Templates\Hardware%20newsletter.dotx" TargetMode="External"/></Relationships>
</file>

<file path=word/theme/theme1.xml><?xml version="1.0" encoding="utf-8"?>
<a:theme xmlns:a="http://schemas.openxmlformats.org/drawingml/2006/main" name="Office Theme">
  <a:themeElements>
    <a:clrScheme name="Custom 11">
      <a:dk1>
        <a:srgbClr val="000000"/>
      </a:dk1>
      <a:lt1>
        <a:srgbClr val="FFFFFF"/>
      </a:lt1>
      <a:dk2>
        <a:srgbClr val="001F5F"/>
      </a:dk2>
      <a:lt2>
        <a:srgbClr val="1DA4DF"/>
      </a:lt2>
      <a:accent1>
        <a:srgbClr val="1B74BC"/>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Custom 11">
      <a:majorFont>
        <a:latin typeface="Calibri Light"/>
        <a:ea typeface=""/>
        <a:cs typeface=""/>
      </a:majorFont>
      <a:minorFont>
        <a:latin typeface="Constant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MediaServiceKeyPoints xmlns="75b3c9cb-7bd1-479f-9268-fc007916113e"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0AD81C974303B748913C43E1198B0C05" ma:contentTypeVersion="15" ma:contentTypeDescription="Create a new document." ma:contentTypeScope="" ma:versionID="a3477af0b8ed1e9e7aec8ed9b6fd69ea">
  <xsd:schema xmlns:xsd="http://www.w3.org/2001/XMLSchema" xmlns:xs="http://www.w3.org/2001/XMLSchema" xmlns:p="http://schemas.microsoft.com/office/2006/metadata/properties" xmlns:ns1="http://schemas.microsoft.com/sharepoint/v3" xmlns:ns3="75b3c9cb-7bd1-479f-9268-fc007916113e" xmlns:ns4="9812d7a0-4f9a-402c-b7a1-cdc5723cb6d9" targetNamespace="http://schemas.microsoft.com/office/2006/metadata/properties" ma:root="true" ma:fieldsID="c2cc26d362c742cebd07bb2c812e371c" ns1:_="" ns3:_="" ns4:_="">
    <xsd:import namespace="http://schemas.microsoft.com/sharepoint/v3"/>
    <xsd:import namespace="75b3c9cb-7bd1-479f-9268-fc007916113e"/>
    <xsd:import namespace="9812d7a0-4f9a-402c-b7a1-cdc5723cb6d9"/>
    <xsd:element name="properties">
      <xsd:complexType>
        <xsd:sequence>
          <xsd:element name="documentManagement">
            <xsd:complexType>
              <xsd:all>
                <xsd:element ref="ns1:_ip_UnifiedCompliancePolicyProperties" minOccurs="0"/>
                <xsd:element ref="ns1:_ip_UnifiedCompliancePolicyUIAction" minOccurs="0"/>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b3c9cb-7bd1-479f-9268-fc007916113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12d7a0-4f9a-402c-b7a1-cdc5723cb6d9"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F57E44A-3D45-4861-997B-4E8202BF001F}">
  <ds:schemaRefs>
    <ds:schemaRef ds:uri="http://schemas.microsoft.com/sharepoint/v3/contenttype/forms"/>
  </ds:schemaRefs>
</ds:datastoreItem>
</file>

<file path=customXml/itemProps2.xml><?xml version="1.0" encoding="utf-8"?>
<ds:datastoreItem xmlns:ds="http://schemas.openxmlformats.org/officeDocument/2006/customXml" ds:itemID="{6A5723A9-56A6-47D9-9F3B-BB28FB5F1650}">
  <ds:schemaRefs>
    <ds:schemaRef ds:uri="http://schemas.openxmlformats.org/package/2006/metadata/core-properties"/>
    <ds:schemaRef ds:uri="http://schemas.microsoft.com/office/2006/metadata/properties"/>
    <ds:schemaRef ds:uri="9812d7a0-4f9a-402c-b7a1-cdc5723cb6d9"/>
    <ds:schemaRef ds:uri="http://purl.org/dc/dcmitype/"/>
    <ds:schemaRef ds:uri="http://schemas.microsoft.com/office/infopath/2007/PartnerControls"/>
    <ds:schemaRef ds:uri="http://schemas.microsoft.com/sharepoint/v3"/>
    <ds:schemaRef ds:uri="http://www.w3.org/XML/1998/namespace"/>
    <ds:schemaRef ds:uri="http://schemas.microsoft.com/office/2006/documentManagement/types"/>
    <ds:schemaRef ds:uri="75b3c9cb-7bd1-479f-9268-fc007916113e"/>
    <ds:schemaRef ds:uri="http://purl.org/dc/terms/"/>
    <ds:schemaRef ds:uri="http://purl.org/dc/elements/1.1/"/>
  </ds:schemaRefs>
</ds:datastoreItem>
</file>

<file path=customXml/itemProps3.xml><?xml version="1.0" encoding="utf-8"?>
<ds:datastoreItem xmlns:ds="http://schemas.openxmlformats.org/officeDocument/2006/customXml" ds:itemID="{765A05ED-A03F-4C0A-9854-3632508C0A1F}">
  <ds:schemaRefs>
    <ds:schemaRef ds:uri="http://schemas.openxmlformats.org/officeDocument/2006/bibliography"/>
  </ds:schemaRefs>
</ds:datastoreItem>
</file>

<file path=customXml/itemProps4.xml><?xml version="1.0" encoding="utf-8"?>
<ds:datastoreItem xmlns:ds="http://schemas.openxmlformats.org/officeDocument/2006/customXml" ds:itemID="{5429EEA4-B0EA-454E-A1E4-9611C7D4EC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5b3c9cb-7bd1-479f-9268-fc007916113e"/>
    <ds:schemaRef ds:uri="9812d7a0-4f9a-402c-b7a1-cdc5723cb6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Hardware newsletter</Template>
  <TotalTime>0</TotalTime>
  <Pages>4</Pages>
  <Words>2405</Words>
  <Characters>13710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2021-10-26T17:42:00Z</dcterms:created>
  <dcterms:modified xsi:type="dcterms:W3CDTF">2021-10-26T17:42:00Z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0x0101000AD81C974303B748913C43E1198B0C05</vt:lpwstr>
  </property>
</Properties>
</file>