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93FB" w14:textId="77777777" w:rsidR="00D2071C" w:rsidRPr="007E07A0" w:rsidRDefault="00D2071C" w:rsidP="00D2071C">
      <w:pPr>
        <w:jc w:val="center"/>
        <w:rPr>
          <w:rFonts w:ascii="Arial" w:hAnsi="Arial" w:cs="Arial"/>
          <w:b/>
          <w:bCs/>
          <w:noProof/>
          <w:color w:val="FF0000"/>
          <w:sz w:val="24"/>
          <w:szCs w:val="24"/>
        </w:rPr>
      </w:pPr>
    </w:p>
    <w:p w14:paraId="24A4515E" w14:textId="3B3879EF" w:rsidR="00896CC8" w:rsidRPr="00D2071C" w:rsidRDefault="00D2071C" w:rsidP="00D2071C">
      <w:pPr>
        <w:jc w:val="center"/>
        <w:rPr>
          <w:rFonts w:ascii="Arial" w:hAnsi="Arial" w:cs="Arial"/>
          <w:b/>
          <w:bCs/>
          <w:color w:val="FF0000"/>
          <w:sz w:val="36"/>
          <w:szCs w:val="36"/>
        </w:rPr>
      </w:pPr>
      <w:r w:rsidRPr="00D2071C">
        <w:rPr>
          <w:rFonts w:ascii="Arial" w:hAnsi="Arial" w:cs="Arial"/>
          <w:b/>
          <w:bCs/>
          <w:noProof/>
          <w:color w:val="FF0000"/>
          <w:sz w:val="36"/>
          <w:szCs w:val="36"/>
        </w:rPr>
        <w:t>INSERT YOUR FIRM’S LOGO/BRANDING HERE</w:t>
      </w:r>
    </w:p>
    <w:p w14:paraId="1299E469" w14:textId="77777777" w:rsidR="00D2071C" w:rsidRPr="007E07A0" w:rsidRDefault="00D2071C" w:rsidP="00D2071C">
      <w:pPr>
        <w:jc w:val="center"/>
        <w:rPr>
          <w:rFonts w:ascii="Arial" w:hAnsi="Arial" w:cs="Arial"/>
          <w:b/>
          <w:bCs/>
          <w:color w:val="FF0000"/>
          <w:sz w:val="24"/>
          <w:szCs w:val="24"/>
        </w:rPr>
      </w:pPr>
    </w:p>
    <w:tbl>
      <w:tblPr>
        <w:tblW w:w="5377" w:type="pct"/>
        <w:tblInd w:w="-450" w:type="dxa"/>
        <w:tblCellMar>
          <w:left w:w="115" w:type="dxa"/>
          <w:right w:w="115" w:type="dxa"/>
        </w:tblCellMar>
        <w:tblLook w:val="0600" w:firstRow="0" w:lastRow="0" w:firstColumn="0" w:lastColumn="0" w:noHBand="1" w:noVBand="1"/>
        <w:tblDescription w:val="Layout table page 1"/>
      </w:tblPr>
      <w:tblGrid>
        <w:gridCol w:w="7561"/>
        <w:gridCol w:w="4053"/>
      </w:tblGrid>
      <w:tr w:rsidR="00616EA8" w:rsidRPr="00AB5A4F" w14:paraId="61114FDF" w14:textId="77777777" w:rsidTr="00587FD3">
        <w:trPr>
          <w:trHeight w:val="576"/>
        </w:trPr>
        <w:tc>
          <w:tcPr>
            <w:tcW w:w="5000" w:type="pct"/>
            <w:gridSpan w:val="2"/>
            <w:shd w:val="clear" w:color="auto" w:fill="005BBB"/>
            <w:vAlign w:val="center"/>
          </w:tcPr>
          <w:p w14:paraId="7CC307DB" w14:textId="77777777" w:rsidR="00616EA8" w:rsidRPr="00CF01CB" w:rsidRDefault="00AB5A4F" w:rsidP="00994153">
            <w:pPr>
              <w:pStyle w:val="Heading1"/>
              <w:spacing w:before="0" w:after="0"/>
              <w:rPr>
                <w:rFonts w:ascii="Arial" w:hAnsi="Arial" w:cs="Arial"/>
                <w:caps w:val="0"/>
                <w:color w:val="FFFFFF" w:themeColor="background1"/>
                <w:sz w:val="36"/>
                <w:szCs w:val="36"/>
              </w:rPr>
            </w:pPr>
            <w:r w:rsidRPr="00994153">
              <w:rPr>
                <w:rFonts w:ascii="Arial" w:hAnsi="Arial" w:cs="Arial"/>
                <w:bCs w:val="0"/>
                <w:caps w:val="0"/>
                <w:color w:val="FFFFFF" w:themeColor="background1"/>
                <w:sz w:val="32"/>
                <w:szCs w:val="32"/>
              </w:rPr>
              <w:t>PR P</w:t>
            </w:r>
            <w:r w:rsidR="00176141" w:rsidRPr="00994153">
              <w:rPr>
                <w:rFonts w:ascii="Arial" w:hAnsi="Arial" w:cs="Arial"/>
                <w:bCs w:val="0"/>
                <w:caps w:val="0"/>
                <w:color w:val="FFFFFF" w:themeColor="background1"/>
                <w:sz w:val="32"/>
                <w:szCs w:val="32"/>
              </w:rPr>
              <w:t>r</w:t>
            </w:r>
            <w:r w:rsidRPr="00994153">
              <w:rPr>
                <w:rFonts w:ascii="Arial" w:hAnsi="Arial" w:cs="Arial"/>
                <w:bCs w:val="0"/>
                <w:caps w:val="0"/>
                <w:color w:val="FFFFFF" w:themeColor="background1"/>
                <w:sz w:val="32"/>
                <w:szCs w:val="32"/>
              </w:rPr>
              <w:t xml:space="preserve">ompts: </w:t>
            </w:r>
            <w:r w:rsidR="00D06B69" w:rsidRPr="00994153">
              <w:rPr>
                <w:rFonts w:ascii="Arial" w:hAnsi="Arial" w:cs="Arial"/>
                <w:bCs w:val="0"/>
                <w:caps w:val="0"/>
                <w:color w:val="FFFFFF" w:themeColor="background1"/>
                <w:sz w:val="32"/>
                <w:szCs w:val="32"/>
              </w:rPr>
              <w:t>Updates from</w:t>
            </w:r>
            <w:r w:rsidRPr="00994153">
              <w:rPr>
                <w:rFonts w:ascii="Arial" w:hAnsi="Arial" w:cs="Arial"/>
                <w:bCs w:val="0"/>
                <w:caps w:val="0"/>
                <w:color w:val="FFFFFF" w:themeColor="background1"/>
                <w:sz w:val="32"/>
                <w:szCs w:val="32"/>
              </w:rPr>
              <w:t xml:space="preserve"> Peer Review</w:t>
            </w:r>
          </w:p>
        </w:tc>
      </w:tr>
      <w:tr w:rsidR="000709BE" w:rsidRPr="00AB5A4F" w14:paraId="4B2313A8" w14:textId="77777777" w:rsidTr="00CF01CB">
        <w:trPr>
          <w:trHeight w:val="70"/>
        </w:trPr>
        <w:tc>
          <w:tcPr>
            <w:tcW w:w="5000" w:type="pct"/>
            <w:gridSpan w:val="2"/>
            <w:shd w:val="clear" w:color="auto" w:fill="auto"/>
          </w:tcPr>
          <w:p w14:paraId="70320CD4" w14:textId="77777777" w:rsidR="000709BE" w:rsidRPr="000709BE" w:rsidRDefault="000709BE" w:rsidP="000709BE">
            <w:pPr>
              <w:pStyle w:val="Heading1"/>
              <w:spacing w:before="0" w:after="0"/>
              <w:jc w:val="both"/>
              <w:rPr>
                <w:color w:val="FFFFFF" w:themeColor="background1"/>
                <w:sz w:val="6"/>
                <w:shd w:val="clear" w:color="auto" w:fill="7030A0"/>
              </w:rPr>
            </w:pPr>
          </w:p>
        </w:tc>
      </w:tr>
      <w:tr w:rsidR="00565993" w:rsidRPr="00616EA8" w14:paraId="147F7716" w14:textId="77777777" w:rsidTr="00587FD3">
        <w:trPr>
          <w:trHeight w:val="12021"/>
        </w:trPr>
        <w:tc>
          <w:tcPr>
            <w:tcW w:w="3255" w:type="pct"/>
            <w:tcBorders>
              <w:right w:val="single" w:sz="12" w:space="0" w:color="005BBB"/>
            </w:tcBorders>
            <w:tcMar>
              <w:right w:w="216" w:type="dxa"/>
            </w:tcMar>
          </w:tcPr>
          <w:p w14:paraId="1BB5EA93" w14:textId="66155431" w:rsidR="009A6A31" w:rsidRPr="00B57F7C" w:rsidRDefault="00D2071C" w:rsidP="002606D8">
            <w:pPr>
              <w:spacing w:before="100"/>
              <w:rPr>
                <w:rFonts w:ascii="Arial" w:hAnsi="Arial" w:cs="Arial"/>
                <w:color w:val="005BBB"/>
                <w:sz w:val="26"/>
                <w:szCs w:val="26"/>
              </w:rPr>
            </w:pPr>
            <w:r>
              <w:rPr>
                <w:rFonts w:ascii="Arial" w:hAnsi="Arial" w:cs="Arial"/>
                <w:b/>
                <w:color w:val="005BBB"/>
                <w:sz w:val="26"/>
                <w:szCs w:val="26"/>
              </w:rPr>
              <w:t>Annual Peer Review Information (PRI) form delayed</w:t>
            </w:r>
          </w:p>
          <w:p w14:paraId="7259331F" w14:textId="733D2EA5" w:rsidR="009A10EC" w:rsidRDefault="00D2071C" w:rsidP="00D658E0">
            <w:pPr>
              <w:rPr>
                <w:rFonts w:ascii="Arial" w:hAnsi="Arial" w:cs="Arial"/>
              </w:rPr>
            </w:pPr>
            <w:r>
              <w:rPr>
                <w:rFonts w:ascii="Arial" w:hAnsi="Arial" w:cs="Arial"/>
              </w:rPr>
              <w:t xml:space="preserve">Originally announced in the fall of 2019, the requirement for all enrolled firms to complete </w:t>
            </w:r>
            <w:r w:rsidR="00D658E0">
              <w:rPr>
                <w:rFonts w:ascii="Arial" w:hAnsi="Arial" w:cs="Arial"/>
              </w:rPr>
              <w:t xml:space="preserve">the PRI annually will not be implemented at this time. </w:t>
            </w:r>
          </w:p>
          <w:p w14:paraId="0DF591FE" w14:textId="634669A3" w:rsidR="00E05479" w:rsidRPr="008027D0" w:rsidRDefault="00E05479" w:rsidP="00E05479">
            <w:pPr>
              <w:rPr>
                <w:rFonts w:ascii="Arial" w:hAnsi="Arial" w:cs="Arial"/>
              </w:rPr>
            </w:pPr>
            <w:r w:rsidRPr="00E05479">
              <w:rPr>
                <w:rFonts w:ascii="Arial" w:hAnsi="Arial" w:cs="Arial"/>
              </w:rPr>
              <w:t xml:space="preserve">Peer review staff want to perform more due diligence to further validate the benefits firms will receive in completing this form annually against any potential impact of the change. </w:t>
            </w:r>
            <w:r w:rsidRPr="008027D0">
              <w:rPr>
                <w:rFonts w:ascii="Arial" w:hAnsi="Arial" w:cs="Arial"/>
              </w:rPr>
              <w:t xml:space="preserve">The </w:t>
            </w:r>
            <w:r w:rsidR="00594847">
              <w:rPr>
                <w:rFonts w:ascii="Arial" w:hAnsi="Arial" w:cs="Arial"/>
              </w:rPr>
              <w:t>AICPA</w:t>
            </w:r>
            <w:r w:rsidRPr="008027D0">
              <w:rPr>
                <w:rFonts w:ascii="Arial" w:hAnsi="Arial" w:cs="Arial"/>
              </w:rPr>
              <w:t xml:space="preserve"> </w:t>
            </w:r>
            <w:r w:rsidR="00594847">
              <w:rPr>
                <w:rFonts w:ascii="Arial" w:hAnsi="Arial" w:cs="Arial"/>
              </w:rPr>
              <w:t>believes</w:t>
            </w:r>
            <w:r w:rsidRPr="008027D0">
              <w:rPr>
                <w:rFonts w:ascii="Arial" w:hAnsi="Arial" w:cs="Arial"/>
              </w:rPr>
              <w:t xml:space="preserve"> that annual submission of peer review information will benefit firms in the following ways:</w:t>
            </w:r>
          </w:p>
          <w:p w14:paraId="4FDB5950" w14:textId="77777777" w:rsidR="007E07A0" w:rsidRDefault="00E05479" w:rsidP="007E07A0">
            <w:pPr>
              <w:pStyle w:val="ListParagraph"/>
              <w:widowControl/>
              <w:numPr>
                <w:ilvl w:val="0"/>
                <w:numId w:val="4"/>
              </w:numPr>
              <w:autoSpaceDE/>
              <w:autoSpaceDN/>
              <w:adjustRightInd/>
              <w:spacing w:after="0"/>
              <w:ind w:left="510"/>
              <w:contextualSpacing/>
              <w:rPr>
                <w:rFonts w:ascii="Arial" w:hAnsi="Arial" w:cs="Arial"/>
                <w:sz w:val="22"/>
                <w:szCs w:val="22"/>
              </w:rPr>
            </w:pPr>
            <w:r w:rsidRPr="008027D0">
              <w:rPr>
                <w:rFonts w:ascii="Arial" w:hAnsi="Arial" w:cs="Arial"/>
                <w:sz w:val="22"/>
                <w:szCs w:val="22"/>
              </w:rPr>
              <w:t>Timely resources to assist in identifying unique risks associated with certain engagements when entering new industries or practice areas</w:t>
            </w:r>
          </w:p>
          <w:p w14:paraId="20EE703A" w14:textId="06CF0ABB" w:rsidR="00E05479" w:rsidRPr="008027D0" w:rsidRDefault="007E07A0" w:rsidP="007E07A0">
            <w:pPr>
              <w:pStyle w:val="ListParagraph"/>
              <w:widowControl/>
              <w:autoSpaceDE/>
              <w:autoSpaceDN/>
              <w:adjustRightInd/>
              <w:spacing w:after="0"/>
              <w:ind w:left="510"/>
              <w:contextualSpacing/>
              <w:rPr>
                <w:rFonts w:ascii="Arial" w:hAnsi="Arial" w:cs="Arial"/>
                <w:sz w:val="22"/>
                <w:szCs w:val="22"/>
              </w:rPr>
            </w:pPr>
            <w:r>
              <w:rPr>
                <w:rFonts w:ascii="Arial" w:hAnsi="Arial" w:cs="Arial"/>
                <w:sz w:val="22"/>
                <w:szCs w:val="22"/>
              </w:rPr>
              <w:t xml:space="preserve">  </w:t>
            </w:r>
          </w:p>
          <w:p w14:paraId="76542853" w14:textId="6948AE74" w:rsidR="00E05479" w:rsidRDefault="00E05479" w:rsidP="007E07A0">
            <w:pPr>
              <w:pStyle w:val="ListParagraph"/>
              <w:widowControl/>
              <w:numPr>
                <w:ilvl w:val="0"/>
                <w:numId w:val="4"/>
              </w:numPr>
              <w:autoSpaceDE/>
              <w:autoSpaceDN/>
              <w:adjustRightInd/>
              <w:spacing w:after="0"/>
              <w:ind w:left="510"/>
              <w:contextualSpacing/>
              <w:rPr>
                <w:rFonts w:ascii="Arial" w:hAnsi="Arial" w:cs="Arial"/>
                <w:sz w:val="22"/>
                <w:szCs w:val="22"/>
              </w:rPr>
            </w:pPr>
            <w:r w:rsidRPr="008027D0">
              <w:rPr>
                <w:rFonts w:ascii="Arial" w:hAnsi="Arial" w:cs="Arial"/>
                <w:sz w:val="22"/>
                <w:szCs w:val="22"/>
              </w:rPr>
              <w:t>Reminders to update system of quality control documentation and consider compliance every year, and not just during peer review years</w:t>
            </w:r>
          </w:p>
          <w:p w14:paraId="19AC96DF" w14:textId="77777777" w:rsidR="007E07A0" w:rsidRPr="007E07A0" w:rsidRDefault="007E07A0" w:rsidP="007E07A0">
            <w:pPr>
              <w:pStyle w:val="ListParagraph"/>
              <w:spacing w:after="0"/>
              <w:rPr>
                <w:rFonts w:ascii="Arial" w:hAnsi="Arial" w:cs="Arial"/>
                <w:sz w:val="22"/>
                <w:szCs w:val="22"/>
              </w:rPr>
            </w:pPr>
          </w:p>
          <w:p w14:paraId="159BEE64" w14:textId="2FAFF1CC" w:rsidR="00E05479" w:rsidRDefault="00E05479" w:rsidP="007E07A0">
            <w:pPr>
              <w:pStyle w:val="ListParagraph"/>
              <w:widowControl/>
              <w:numPr>
                <w:ilvl w:val="0"/>
                <w:numId w:val="4"/>
              </w:numPr>
              <w:autoSpaceDE/>
              <w:autoSpaceDN/>
              <w:adjustRightInd/>
              <w:spacing w:after="0"/>
              <w:ind w:left="510"/>
              <w:contextualSpacing/>
              <w:rPr>
                <w:rFonts w:ascii="Arial" w:hAnsi="Arial" w:cs="Arial"/>
                <w:sz w:val="22"/>
                <w:szCs w:val="22"/>
              </w:rPr>
            </w:pPr>
            <w:r w:rsidRPr="008027D0">
              <w:rPr>
                <w:rFonts w:ascii="Arial" w:hAnsi="Arial" w:cs="Arial"/>
                <w:sz w:val="22"/>
                <w:szCs w:val="22"/>
              </w:rPr>
              <w:t>Improved communication about professional standards and Program changes</w:t>
            </w:r>
          </w:p>
          <w:p w14:paraId="5E0F7446" w14:textId="77777777" w:rsidR="007E07A0" w:rsidRPr="007E07A0" w:rsidRDefault="007E07A0" w:rsidP="007E07A0">
            <w:pPr>
              <w:pStyle w:val="ListParagraph"/>
              <w:spacing w:after="0"/>
              <w:rPr>
                <w:rFonts w:ascii="Arial" w:hAnsi="Arial" w:cs="Arial"/>
                <w:sz w:val="22"/>
                <w:szCs w:val="22"/>
              </w:rPr>
            </w:pPr>
          </w:p>
          <w:p w14:paraId="1A153E15" w14:textId="0BDBD9C8" w:rsidR="00E05479" w:rsidRDefault="00E05479" w:rsidP="007E07A0">
            <w:pPr>
              <w:pStyle w:val="ListParagraph"/>
              <w:widowControl/>
              <w:numPr>
                <w:ilvl w:val="0"/>
                <w:numId w:val="4"/>
              </w:numPr>
              <w:autoSpaceDE/>
              <w:autoSpaceDN/>
              <w:adjustRightInd/>
              <w:spacing w:after="0"/>
              <w:ind w:left="510"/>
              <w:contextualSpacing/>
              <w:rPr>
                <w:rFonts w:ascii="Arial" w:hAnsi="Arial" w:cs="Arial"/>
                <w:sz w:val="22"/>
                <w:szCs w:val="22"/>
              </w:rPr>
            </w:pPr>
            <w:r w:rsidRPr="008027D0">
              <w:rPr>
                <w:rFonts w:ascii="Arial" w:hAnsi="Arial" w:cs="Arial"/>
                <w:sz w:val="22"/>
                <w:szCs w:val="22"/>
              </w:rPr>
              <w:t>Increased efficiency for peer reviews through familiarization with the Peer Review Information Management Application (PRIMA) and automated summaries for peer reviewers</w:t>
            </w:r>
          </w:p>
          <w:p w14:paraId="64D632B1" w14:textId="030DEFFF" w:rsidR="00594847" w:rsidRDefault="00594847" w:rsidP="00594847">
            <w:pPr>
              <w:widowControl/>
              <w:autoSpaceDE/>
              <w:autoSpaceDN/>
              <w:adjustRightInd/>
              <w:spacing w:after="0"/>
              <w:contextualSpacing/>
            </w:pPr>
          </w:p>
          <w:p w14:paraId="48A4A2D8" w14:textId="7645DFE3" w:rsidR="00594847" w:rsidRPr="00594847" w:rsidRDefault="007E07A0" w:rsidP="00594847">
            <w:pPr>
              <w:widowControl/>
              <w:autoSpaceDE/>
              <w:autoSpaceDN/>
              <w:adjustRightInd/>
              <w:spacing w:after="0"/>
              <w:contextualSpacing/>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86E3A9D" wp14:editId="3CF061E2">
                      <wp:simplePos x="0" y="0"/>
                      <wp:positionH relativeFrom="column">
                        <wp:posOffset>4006491</wp:posOffset>
                      </wp:positionH>
                      <wp:positionV relativeFrom="paragraph">
                        <wp:posOffset>374954</wp:posOffset>
                      </wp:positionV>
                      <wp:extent cx="57150" cy="571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DCA9" id="Rectangle 14" o:spid="_x0000_s1026" style="position:absolute;margin-left:315.45pt;margin-top:29.5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" fillcolor="#005bbb" strokecolor="#005bbb" strokeweight="1pt"/>
                  </w:pict>
                </mc:Fallback>
              </mc:AlternateContent>
            </w:r>
            <w:r w:rsidR="00594847" w:rsidRPr="00594847">
              <w:rPr>
                <w:rFonts w:ascii="Arial" w:hAnsi="Arial" w:cs="Arial"/>
              </w:rPr>
              <w:t>Lastly, the AICPA received feedback that some have confused PRI completion with the performance of a peer review. Please be assured this is not the case – peer reviews will remain on a three-year cycle.</w:t>
            </w:r>
          </w:p>
          <w:p w14:paraId="22A5DF16" w14:textId="72F5237C" w:rsidR="00404E8E" w:rsidRPr="008027D0" w:rsidRDefault="00E05479" w:rsidP="00CF01CB">
            <w:pPr>
              <w:rPr>
                <w:rFonts w:ascii="Arial" w:hAnsi="Arial" w:cs="Arial"/>
                <w:highlight w:val="lightGray"/>
              </w:rPr>
            </w:pPr>
            <w:r w:rsidRPr="008027D0">
              <w:rPr>
                <w:rFonts w:ascii="Arial" w:hAnsi="Arial" w:cs="Arial"/>
                <w:noProof/>
              </w:rPr>
              <w:drawing>
                <wp:anchor distT="0" distB="0" distL="114300" distR="114300" simplePos="0" relativeHeight="251659264" behindDoc="1" locked="0" layoutInCell="1" allowOverlap="1" wp14:anchorId="0EA2E4F8" wp14:editId="3F68711D">
                  <wp:simplePos x="0" y="0"/>
                  <wp:positionH relativeFrom="column">
                    <wp:posOffset>-69243</wp:posOffset>
                  </wp:positionH>
                  <wp:positionV relativeFrom="paragraph">
                    <wp:posOffset>619815</wp:posOffset>
                  </wp:positionV>
                  <wp:extent cx="4633934" cy="24802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3934" cy="2480282"/>
                          </a:xfrm>
                          <a:prstGeom prst="rect">
                            <a:avLst/>
                          </a:prstGeom>
                        </pic:spPr>
                      </pic:pic>
                    </a:graphicData>
                  </a:graphic>
                  <wp14:sizeRelH relativeFrom="margin">
                    <wp14:pctWidth>0</wp14:pctWidth>
                  </wp14:sizeRelH>
                  <wp14:sizeRelV relativeFrom="margin">
                    <wp14:pctHeight>0</wp14:pctHeight>
                  </wp14:sizeRelV>
                </wp:anchor>
              </w:drawing>
            </w:r>
          </w:p>
        </w:tc>
        <w:tc>
          <w:tcPr>
            <w:tcW w:w="1745" w:type="pct"/>
            <w:tcBorders>
              <w:top w:val="single" w:sz="12" w:space="0" w:color="005BBB"/>
              <w:left w:val="single" w:sz="12" w:space="0" w:color="005BBB"/>
              <w:bottom w:val="single" w:sz="12" w:space="0" w:color="005BBB"/>
              <w:right w:val="single" w:sz="12" w:space="0" w:color="005BBB"/>
            </w:tcBorders>
            <w:shd w:val="clear" w:color="auto" w:fill="F2F2F2" w:themeFill="background1" w:themeFillShade="F2"/>
            <w:tcMar>
              <w:left w:w="216" w:type="dxa"/>
              <w:right w:w="216" w:type="dxa"/>
            </w:tcMar>
          </w:tcPr>
          <w:p w14:paraId="1AF62AE4" w14:textId="22BBFB6F" w:rsidR="00994153" w:rsidRPr="00B57F7C" w:rsidRDefault="008665EC" w:rsidP="002606D8">
            <w:pPr>
              <w:spacing w:before="100" w:line="259" w:lineRule="auto"/>
              <w:rPr>
                <w:rFonts w:ascii="Arial" w:hAnsi="Arial" w:cs="Arial"/>
                <w:b/>
                <w:color w:val="005BBB"/>
                <w:sz w:val="26"/>
                <w:szCs w:val="26"/>
              </w:rPr>
            </w:pPr>
            <w:r w:rsidRPr="00B57F7C">
              <w:rPr>
                <w:rFonts w:ascii="Arial" w:hAnsi="Arial" w:cs="Arial"/>
                <w:b/>
                <w:color w:val="005BBB"/>
                <w:sz w:val="26"/>
                <w:szCs w:val="26"/>
              </w:rPr>
              <w:t>Firm Compliance with</w:t>
            </w:r>
            <w:r w:rsidRPr="00B57F7C">
              <w:rPr>
                <w:rFonts w:ascii="Arial" w:hAnsi="Arial" w:cs="Arial"/>
                <w:b/>
                <w:caps/>
                <w:color w:val="005BBB"/>
                <w:sz w:val="26"/>
                <w:szCs w:val="26"/>
              </w:rPr>
              <w:t xml:space="preserve"> </w:t>
            </w:r>
            <w:r w:rsidRPr="00B57F7C">
              <w:rPr>
                <w:rFonts w:ascii="Arial" w:hAnsi="Arial" w:cs="Arial"/>
                <w:b/>
                <w:color w:val="005BBB"/>
                <w:sz w:val="26"/>
                <w:szCs w:val="26"/>
              </w:rPr>
              <w:t>State Peer Review Licensure Requirements</w:t>
            </w:r>
          </w:p>
          <w:p w14:paraId="5E399E23" w14:textId="388F74A9" w:rsidR="008E7883" w:rsidRDefault="00E07FA4" w:rsidP="00994153">
            <w:pPr>
              <w:spacing w:after="0" w:line="259" w:lineRule="auto"/>
              <w:rPr>
                <w:rFonts w:ascii="Arial" w:hAnsi="Arial" w:cs="Arial"/>
                <w:bCs/>
              </w:rPr>
            </w:pPr>
            <w:bookmarkStart w:id="0" w:name="_Hlk23506971"/>
            <w:r w:rsidRPr="00CF01CB">
              <w:rPr>
                <w:rFonts w:ascii="Arial" w:hAnsi="Arial" w:cs="Arial"/>
                <w:bCs/>
              </w:rPr>
              <w:t xml:space="preserve">Firms may be asked for the status of their peer review by a state board of accountancy. To assist firms with this request, firms can give their administering entity (AE) permission to provide certain objective information about their peer review.  Examples of </w:t>
            </w:r>
            <w:r w:rsidR="00994153">
              <w:rPr>
                <w:rFonts w:ascii="Arial" w:hAnsi="Arial" w:cs="Arial"/>
                <w:bCs/>
              </w:rPr>
              <w:t xml:space="preserve">information </w:t>
            </w:r>
            <w:r w:rsidRPr="00CF01CB">
              <w:rPr>
                <w:rFonts w:ascii="Arial" w:hAnsi="Arial" w:cs="Arial"/>
                <w:bCs/>
              </w:rPr>
              <w:t>types that firms can permit their AE to provide include</w:t>
            </w:r>
            <w:r w:rsidR="000141E1">
              <w:rPr>
                <w:rFonts w:ascii="Arial" w:hAnsi="Arial" w:cs="Arial"/>
                <w:bCs/>
              </w:rPr>
              <w:t xml:space="preserve">, </w:t>
            </w:r>
            <w:r w:rsidRPr="00CF01CB">
              <w:rPr>
                <w:rFonts w:ascii="Arial" w:hAnsi="Arial" w:cs="Arial"/>
                <w:bCs/>
              </w:rPr>
              <w:t>but are not limited to:</w:t>
            </w:r>
          </w:p>
          <w:p w14:paraId="727B44B8" w14:textId="77777777" w:rsidR="00C32EB6" w:rsidRPr="00CF01CB" w:rsidRDefault="00C32EB6" w:rsidP="00994153">
            <w:pPr>
              <w:spacing w:after="0" w:line="259" w:lineRule="auto"/>
              <w:rPr>
                <w:rFonts w:ascii="Arial" w:hAnsi="Arial" w:cs="Arial"/>
                <w:bCs/>
              </w:rPr>
            </w:pPr>
          </w:p>
          <w:p w14:paraId="63749E52" w14:textId="08AC45CB" w:rsidR="00E07FA4" w:rsidRPr="00CF01CB" w:rsidRDefault="000141E1" w:rsidP="00994153">
            <w:pPr>
              <w:pStyle w:val="ListParagraph"/>
              <w:widowControl/>
              <w:numPr>
                <w:ilvl w:val="0"/>
                <w:numId w:val="7"/>
              </w:numPr>
              <w:autoSpaceDE/>
              <w:autoSpaceDN/>
              <w:adjustRightInd/>
              <w:spacing w:after="0" w:line="259" w:lineRule="auto"/>
              <w:ind w:left="330" w:hanging="300"/>
              <w:contextualSpacing/>
              <w:rPr>
                <w:rFonts w:ascii="Arial" w:hAnsi="Arial" w:cs="Arial"/>
                <w:bCs/>
                <w:sz w:val="22"/>
                <w:szCs w:val="22"/>
              </w:rPr>
            </w:pPr>
            <w:r>
              <w:rPr>
                <w:rFonts w:ascii="Arial" w:hAnsi="Arial" w:cs="Arial"/>
                <w:bCs/>
                <w:sz w:val="22"/>
                <w:szCs w:val="22"/>
              </w:rPr>
              <w:t>T</w:t>
            </w:r>
            <w:r w:rsidR="00E07FA4" w:rsidRPr="00CF01CB">
              <w:rPr>
                <w:rFonts w:ascii="Arial" w:hAnsi="Arial" w:cs="Arial"/>
                <w:bCs/>
                <w:sz w:val="22"/>
                <w:szCs w:val="22"/>
              </w:rPr>
              <w:t>he date of the firm’s enrollmen</w:t>
            </w:r>
            <w:r w:rsidR="00DF0D6C">
              <w:rPr>
                <w:rFonts w:ascii="Arial" w:hAnsi="Arial" w:cs="Arial"/>
                <w:bCs/>
                <w:sz w:val="22"/>
                <w:szCs w:val="22"/>
              </w:rPr>
              <w:t>t and</w:t>
            </w:r>
            <w:r w:rsidR="00E07FA4" w:rsidRPr="00CF01CB">
              <w:rPr>
                <w:rFonts w:ascii="Arial" w:hAnsi="Arial" w:cs="Arial"/>
                <w:bCs/>
                <w:sz w:val="22"/>
                <w:szCs w:val="22"/>
              </w:rPr>
              <w:t xml:space="preserve"> due date of the firm’s first peer review (either after enrollment or reenrollment).</w:t>
            </w:r>
            <w:r w:rsidR="00994153">
              <w:rPr>
                <w:rFonts w:ascii="Arial" w:hAnsi="Arial" w:cs="Arial"/>
                <w:bCs/>
                <w:sz w:val="22"/>
                <w:szCs w:val="22"/>
              </w:rPr>
              <w:t xml:space="preserve"> </w:t>
            </w:r>
            <w:r w:rsidR="00E07FA4" w:rsidRPr="00CF01CB">
              <w:rPr>
                <w:rFonts w:ascii="Arial" w:hAnsi="Arial" w:cs="Arial"/>
                <w:bCs/>
                <w:sz w:val="22"/>
                <w:szCs w:val="22"/>
              </w:rPr>
              <w:t>This information is included in the firm’s enrollment letter at the time of initial enrollment or reenrollment.</w:t>
            </w:r>
          </w:p>
          <w:p w14:paraId="0BEAA86D" w14:textId="77777777" w:rsidR="00E07FA4" w:rsidRPr="00CF01CB" w:rsidRDefault="000141E1" w:rsidP="00994153">
            <w:pPr>
              <w:pStyle w:val="ListParagraph"/>
              <w:widowControl/>
              <w:numPr>
                <w:ilvl w:val="0"/>
                <w:numId w:val="7"/>
              </w:numPr>
              <w:autoSpaceDE/>
              <w:autoSpaceDN/>
              <w:adjustRightInd/>
              <w:spacing w:after="0" w:line="259" w:lineRule="auto"/>
              <w:ind w:left="330" w:hanging="300"/>
              <w:contextualSpacing/>
              <w:rPr>
                <w:rFonts w:ascii="Arial" w:hAnsi="Arial" w:cs="Arial"/>
                <w:bCs/>
                <w:sz w:val="22"/>
                <w:szCs w:val="22"/>
              </w:rPr>
            </w:pPr>
            <w:r>
              <w:rPr>
                <w:rFonts w:ascii="Arial" w:hAnsi="Arial" w:cs="Arial"/>
                <w:bCs/>
                <w:sz w:val="22"/>
                <w:szCs w:val="22"/>
              </w:rPr>
              <w:t xml:space="preserve">A </w:t>
            </w:r>
            <w:r w:rsidR="00E07FA4" w:rsidRPr="00CF01CB">
              <w:rPr>
                <w:rFonts w:ascii="Arial" w:hAnsi="Arial" w:cs="Arial"/>
                <w:bCs/>
                <w:sz w:val="22"/>
                <w:szCs w:val="22"/>
              </w:rPr>
              <w:t>revised peer review due date. This information is included in an approved extension letter.</w:t>
            </w:r>
          </w:p>
          <w:p w14:paraId="444C2202" w14:textId="62D429C7" w:rsidR="008E7883" w:rsidRDefault="000141E1" w:rsidP="00994153">
            <w:pPr>
              <w:pStyle w:val="ListParagraph"/>
              <w:widowControl/>
              <w:numPr>
                <w:ilvl w:val="0"/>
                <w:numId w:val="7"/>
              </w:numPr>
              <w:autoSpaceDE/>
              <w:autoSpaceDN/>
              <w:adjustRightInd/>
              <w:spacing w:after="0" w:line="259" w:lineRule="auto"/>
              <w:ind w:left="330" w:hanging="300"/>
              <w:contextualSpacing/>
              <w:rPr>
                <w:rFonts w:ascii="Arial" w:hAnsi="Arial" w:cs="Arial"/>
                <w:bCs/>
                <w:sz w:val="22"/>
                <w:szCs w:val="22"/>
              </w:rPr>
            </w:pPr>
            <w:r>
              <w:rPr>
                <w:rFonts w:ascii="Arial" w:hAnsi="Arial" w:cs="Arial"/>
                <w:bCs/>
                <w:sz w:val="22"/>
                <w:szCs w:val="22"/>
              </w:rPr>
              <w:t>T</w:t>
            </w:r>
            <w:r w:rsidR="00E07FA4" w:rsidRPr="00CF01CB">
              <w:rPr>
                <w:rFonts w:ascii="Arial" w:hAnsi="Arial" w:cs="Arial"/>
                <w:bCs/>
                <w:sz w:val="22"/>
                <w:szCs w:val="22"/>
              </w:rPr>
              <w:t>he estimated date</w:t>
            </w:r>
            <w:r w:rsidR="00DF0D6C">
              <w:rPr>
                <w:rFonts w:ascii="Arial" w:hAnsi="Arial" w:cs="Arial"/>
                <w:bCs/>
                <w:sz w:val="22"/>
                <w:szCs w:val="22"/>
              </w:rPr>
              <w:t>s</w:t>
            </w:r>
            <w:r w:rsidR="00E07FA4" w:rsidRPr="00CF01CB">
              <w:rPr>
                <w:rFonts w:ascii="Arial" w:hAnsi="Arial" w:cs="Arial"/>
                <w:bCs/>
                <w:sz w:val="22"/>
                <w:szCs w:val="22"/>
              </w:rPr>
              <w:t xml:space="preserve"> </w:t>
            </w:r>
            <w:r>
              <w:rPr>
                <w:rFonts w:ascii="Arial" w:hAnsi="Arial" w:cs="Arial"/>
                <w:bCs/>
                <w:sz w:val="22"/>
                <w:szCs w:val="22"/>
              </w:rPr>
              <w:t xml:space="preserve">of when the </w:t>
            </w:r>
            <w:r w:rsidR="00E07FA4" w:rsidRPr="00CF01CB">
              <w:rPr>
                <w:rFonts w:ascii="Arial" w:hAnsi="Arial" w:cs="Arial"/>
                <w:bCs/>
                <w:sz w:val="22"/>
                <w:szCs w:val="22"/>
              </w:rPr>
              <w:t>firm’s peer review will commence</w:t>
            </w:r>
            <w:r>
              <w:rPr>
                <w:rFonts w:ascii="Arial" w:hAnsi="Arial" w:cs="Arial"/>
                <w:bCs/>
                <w:sz w:val="22"/>
                <w:szCs w:val="22"/>
              </w:rPr>
              <w:t xml:space="preserve"> and </w:t>
            </w:r>
            <w:r w:rsidR="00E07FA4" w:rsidRPr="00CF01CB">
              <w:rPr>
                <w:rFonts w:ascii="Arial" w:hAnsi="Arial" w:cs="Arial"/>
                <w:bCs/>
                <w:sz w:val="22"/>
                <w:szCs w:val="22"/>
              </w:rPr>
              <w:t xml:space="preserve">will be presented to a </w:t>
            </w:r>
            <w:r>
              <w:rPr>
                <w:rFonts w:ascii="Arial" w:hAnsi="Arial" w:cs="Arial"/>
                <w:bCs/>
                <w:sz w:val="22"/>
                <w:szCs w:val="22"/>
              </w:rPr>
              <w:t>R</w:t>
            </w:r>
            <w:r w:rsidR="00E07FA4" w:rsidRPr="00CF01CB">
              <w:rPr>
                <w:rFonts w:ascii="Arial" w:hAnsi="Arial" w:cs="Arial"/>
                <w:bCs/>
                <w:sz w:val="22"/>
                <w:szCs w:val="22"/>
              </w:rPr>
              <w:t xml:space="preserve">eport </w:t>
            </w:r>
            <w:r>
              <w:rPr>
                <w:rFonts w:ascii="Arial" w:hAnsi="Arial" w:cs="Arial"/>
                <w:bCs/>
                <w:sz w:val="22"/>
                <w:szCs w:val="22"/>
              </w:rPr>
              <w:t>A</w:t>
            </w:r>
            <w:r w:rsidR="00E07FA4" w:rsidRPr="00CF01CB">
              <w:rPr>
                <w:rFonts w:ascii="Arial" w:hAnsi="Arial" w:cs="Arial"/>
                <w:bCs/>
                <w:sz w:val="22"/>
                <w:szCs w:val="22"/>
              </w:rPr>
              <w:t xml:space="preserve">cceptance </w:t>
            </w:r>
            <w:r>
              <w:rPr>
                <w:rFonts w:ascii="Arial" w:hAnsi="Arial" w:cs="Arial"/>
                <w:bCs/>
                <w:sz w:val="22"/>
                <w:szCs w:val="22"/>
              </w:rPr>
              <w:t>B</w:t>
            </w:r>
            <w:r w:rsidR="00E07FA4" w:rsidRPr="00CF01CB">
              <w:rPr>
                <w:rFonts w:ascii="Arial" w:hAnsi="Arial" w:cs="Arial"/>
                <w:bCs/>
                <w:sz w:val="22"/>
                <w:szCs w:val="22"/>
              </w:rPr>
              <w:t>ody</w:t>
            </w:r>
            <w:r>
              <w:rPr>
                <w:rFonts w:ascii="Arial" w:hAnsi="Arial" w:cs="Arial"/>
                <w:bCs/>
                <w:sz w:val="22"/>
                <w:szCs w:val="22"/>
              </w:rPr>
              <w:t xml:space="preserve"> (RAB)</w:t>
            </w:r>
            <w:r w:rsidR="00E07FA4" w:rsidRPr="00CF01CB">
              <w:rPr>
                <w:rFonts w:ascii="Arial" w:hAnsi="Arial" w:cs="Arial"/>
                <w:bCs/>
                <w:sz w:val="22"/>
                <w:szCs w:val="22"/>
              </w:rPr>
              <w:t>.</w:t>
            </w:r>
          </w:p>
          <w:p w14:paraId="0053B0FB" w14:textId="77777777" w:rsidR="00994153" w:rsidRPr="00CF01CB" w:rsidRDefault="00994153" w:rsidP="00994153">
            <w:pPr>
              <w:pStyle w:val="ListParagraph"/>
              <w:widowControl/>
              <w:autoSpaceDE/>
              <w:autoSpaceDN/>
              <w:adjustRightInd/>
              <w:spacing w:after="0" w:line="259" w:lineRule="auto"/>
              <w:ind w:left="330"/>
              <w:contextualSpacing/>
              <w:rPr>
                <w:rFonts w:ascii="Arial" w:hAnsi="Arial" w:cs="Arial"/>
                <w:bCs/>
                <w:sz w:val="22"/>
                <w:szCs w:val="22"/>
              </w:rPr>
            </w:pPr>
          </w:p>
          <w:p w14:paraId="37C17A59" w14:textId="4C1DC7FD" w:rsidR="005529FF" w:rsidRPr="00E07FA4" w:rsidRDefault="00211952" w:rsidP="00994153">
            <w:pPr>
              <w:spacing w:after="0" w:line="259" w:lineRule="auto"/>
              <w:rPr>
                <w:rFonts w:cs="Arial"/>
              </w:rPr>
            </w:pPr>
            <w:r>
              <w:rPr>
                <w:rFonts w:ascii="Arial" w:hAnsi="Arial" w:cs="Arial"/>
                <w:noProof/>
              </w:rPr>
              <mc:AlternateContent>
                <mc:Choice Requires="wps">
                  <w:drawing>
                    <wp:anchor distT="0" distB="0" distL="114300" distR="114300" simplePos="0" relativeHeight="251667456" behindDoc="0" locked="0" layoutInCell="1" allowOverlap="1" wp14:anchorId="30EC49CB" wp14:editId="21B4C4E2">
                      <wp:simplePos x="0" y="0"/>
                      <wp:positionH relativeFrom="column">
                        <wp:posOffset>561340</wp:posOffset>
                      </wp:positionH>
                      <wp:positionV relativeFrom="paragraph">
                        <wp:posOffset>1972310</wp:posOffset>
                      </wp:positionV>
                      <wp:extent cx="57150" cy="571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549B1" id="Rectangle 15" o:spid="_x0000_s1026" style="position:absolute;margin-left:44.2pt;margin-top:155.3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" fillcolor="#005bbb" strokecolor="#005bbb" strokeweight="1pt"/>
                  </w:pict>
                </mc:Fallback>
              </mc:AlternateContent>
            </w:r>
            <w:r w:rsidR="00E07FA4" w:rsidRPr="00CF01CB">
              <w:rPr>
                <w:rFonts w:ascii="Arial" w:hAnsi="Arial" w:cs="Arial"/>
              </w:rPr>
              <w:t xml:space="preserve">Starting in 2020, </w:t>
            </w:r>
            <w:r w:rsidR="004925B4">
              <w:rPr>
                <w:rFonts w:ascii="Arial" w:hAnsi="Arial" w:cs="Arial"/>
              </w:rPr>
              <w:t>firms</w:t>
            </w:r>
            <w:r w:rsidR="00E07FA4" w:rsidRPr="00CF01CB">
              <w:rPr>
                <w:rFonts w:ascii="Arial" w:hAnsi="Arial" w:cs="Arial"/>
              </w:rPr>
              <w:t xml:space="preserve"> can grant their AE this permission by accessing PRIMA at any time throughout the peer review process, such as during the enrollment or scheduling phase. Firms can also access PRIMA and change their selections at any time.  For more information, please refer to Agenda Item 1.2</w:t>
            </w:r>
            <w:r w:rsidR="008E7883" w:rsidRPr="00CF01CB">
              <w:rPr>
                <w:rFonts w:ascii="Arial" w:hAnsi="Arial" w:cs="Arial"/>
              </w:rPr>
              <w:t xml:space="preserve"> within the </w:t>
            </w:r>
            <w:hyperlink r:id="rId12" w:history="1">
              <w:r w:rsidR="00C37E0F">
                <w:rPr>
                  <w:rStyle w:val="Hyperlink"/>
                  <w:rFonts w:ascii="Arial" w:hAnsi="Arial" w:cs="Arial"/>
                </w:rPr>
                <w:t>Oc</w:t>
              </w:r>
              <w:r w:rsidR="009C3909" w:rsidRPr="00CF01CB">
                <w:rPr>
                  <w:rStyle w:val="Hyperlink"/>
                  <w:rFonts w:ascii="Arial" w:hAnsi="Arial" w:cs="Arial"/>
                </w:rPr>
                <w:t xml:space="preserve">tober </w:t>
              </w:r>
              <w:r w:rsidR="00531692">
                <w:rPr>
                  <w:rStyle w:val="Hyperlink"/>
                  <w:rFonts w:ascii="Arial" w:hAnsi="Arial" w:cs="Arial"/>
                </w:rPr>
                <w:t xml:space="preserve">2019 </w:t>
              </w:r>
              <w:r w:rsidR="00C37E0F">
                <w:rPr>
                  <w:rStyle w:val="Hyperlink"/>
                  <w:rFonts w:ascii="Arial" w:hAnsi="Arial" w:cs="Arial"/>
                </w:rPr>
                <w:t xml:space="preserve">PRB </w:t>
              </w:r>
              <w:r w:rsidR="009C3909" w:rsidRPr="00CF01CB">
                <w:rPr>
                  <w:rStyle w:val="Hyperlink"/>
                  <w:rFonts w:ascii="Arial" w:hAnsi="Arial" w:cs="Arial"/>
                </w:rPr>
                <w:t>Open Session meeting materials</w:t>
              </w:r>
            </w:hyperlink>
            <w:r w:rsidR="009C3909" w:rsidRPr="00CF01CB">
              <w:rPr>
                <w:rFonts w:ascii="Arial" w:hAnsi="Arial" w:cs="Arial"/>
              </w:rPr>
              <w:t xml:space="preserve"> and be on the lookout for a</w:t>
            </w:r>
            <w:r w:rsidR="00994153">
              <w:rPr>
                <w:rFonts w:ascii="Arial" w:hAnsi="Arial" w:cs="Arial"/>
              </w:rPr>
              <w:t>n</w:t>
            </w:r>
            <w:r w:rsidR="009C3909" w:rsidRPr="00CF01CB">
              <w:rPr>
                <w:rFonts w:ascii="Arial" w:hAnsi="Arial" w:cs="Arial"/>
              </w:rPr>
              <w:t xml:space="preserve"> FAQ!</w:t>
            </w:r>
            <w:bookmarkEnd w:id="0"/>
            <w:r>
              <w:rPr>
                <w:rFonts w:ascii="Arial" w:hAnsi="Arial" w:cs="Arial"/>
              </w:rPr>
              <w:t xml:space="preserve"> </w:t>
            </w:r>
          </w:p>
        </w:tc>
      </w:tr>
    </w:tbl>
    <w:p w14:paraId="790836CB" w14:textId="77777777" w:rsidR="009C3909" w:rsidRPr="008E7883" w:rsidRDefault="009C3909" w:rsidP="008E7883">
      <w:pPr>
        <w:spacing w:after="0"/>
        <w:rPr>
          <w:sz w:val="4"/>
          <w:szCs w:val="4"/>
        </w:rPr>
      </w:pPr>
    </w:p>
    <w:tbl>
      <w:tblPr>
        <w:tblW w:w="5000" w:type="pct"/>
        <w:jc w:val="center"/>
        <w:tblCellMar>
          <w:left w:w="115" w:type="dxa"/>
          <w:right w:w="115" w:type="dxa"/>
        </w:tblCellMar>
        <w:tblLook w:val="0600" w:firstRow="0" w:lastRow="0" w:firstColumn="0" w:lastColumn="0" w:noHBand="1" w:noVBand="1"/>
        <w:tblDescription w:val="Layout table page 1"/>
      </w:tblPr>
      <w:tblGrid>
        <w:gridCol w:w="4025"/>
        <w:gridCol w:w="2229"/>
        <w:gridCol w:w="1423"/>
        <w:gridCol w:w="2849"/>
        <w:gridCol w:w="274"/>
      </w:tblGrid>
      <w:tr w:rsidR="00D636D7" w:rsidRPr="00D636D7" w14:paraId="4C82C886" w14:textId="77777777" w:rsidTr="00587FD3">
        <w:trPr>
          <w:trHeight w:val="576"/>
          <w:jc w:val="center"/>
        </w:trPr>
        <w:tc>
          <w:tcPr>
            <w:tcW w:w="5000" w:type="pct"/>
            <w:gridSpan w:val="5"/>
            <w:shd w:val="clear" w:color="auto" w:fill="005BBB"/>
            <w:vAlign w:val="center"/>
          </w:tcPr>
          <w:p w14:paraId="4B2B059A" w14:textId="26757D39" w:rsidR="00D636D7" w:rsidRPr="002606D8" w:rsidRDefault="00565993" w:rsidP="002606D8">
            <w:pPr>
              <w:pStyle w:val="Heading1"/>
              <w:spacing w:before="0" w:after="0"/>
              <w:rPr>
                <w:rFonts w:ascii="Arial" w:hAnsi="Arial" w:cs="Arial"/>
                <w:bCs w:val="0"/>
                <w:caps w:val="0"/>
                <w:color w:val="FFFFFF" w:themeColor="background1"/>
                <w:sz w:val="32"/>
                <w:szCs w:val="32"/>
              </w:rPr>
            </w:pPr>
            <w:r w:rsidRPr="002606D8">
              <w:rPr>
                <w:rFonts w:asciiTheme="minorHAnsi" w:hAnsiTheme="minorHAnsi" w:cs="Georgia"/>
                <w:b w:val="0"/>
                <w:bCs w:val="0"/>
                <w:caps w:val="0"/>
                <w:color w:val="auto"/>
                <w:sz w:val="32"/>
                <w:szCs w:val="32"/>
              </w:rPr>
              <w:lastRenderedPageBreak/>
              <w:br w:type="page"/>
            </w:r>
            <w:r w:rsidR="00FF4E66" w:rsidRPr="002606D8">
              <w:rPr>
                <w:sz w:val="32"/>
                <w:szCs w:val="32"/>
              </w:rPr>
              <w:br w:type="page"/>
            </w:r>
            <w:r w:rsidR="00096C9D" w:rsidRPr="002606D8">
              <w:rPr>
                <w:rFonts w:ascii="Calibri Light" w:hAnsi="Calibri Light" w:cs="Georgia"/>
                <w:bCs w:val="0"/>
                <w:color w:val="FFFFFF" w:themeColor="background1"/>
                <w:sz w:val="32"/>
                <w:szCs w:val="32"/>
              </w:rPr>
              <w:br w:type="page"/>
            </w:r>
            <w:r w:rsidR="007509A9" w:rsidRPr="002606D8">
              <w:rPr>
                <w:rFonts w:ascii="Arial" w:hAnsi="Arial" w:cs="Arial"/>
                <w:bCs w:val="0"/>
                <w:caps w:val="0"/>
                <w:color w:val="FFFFFF" w:themeColor="background1"/>
                <w:sz w:val="32"/>
                <w:szCs w:val="32"/>
              </w:rPr>
              <w:t>Ready, Set, Implement:</w:t>
            </w:r>
            <w:r w:rsidR="009B4D58" w:rsidRPr="002606D8">
              <w:rPr>
                <w:rFonts w:ascii="Arial" w:hAnsi="Arial" w:cs="Arial"/>
                <w:bCs w:val="0"/>
                <w:caps w:val="0"/>
                <w:color w:val="FFFFFF" w:themeColor="background1"/>
                <w:sz w:val="32"/>
                <w:szCs w:val="32"/>
              </w:rPr>
              <w:t xml:space="preserve"> Updates on </w:t>
            </w:r>
            <w:r w:rsidR="007509A9" w:rsidRPr="002606D8">
              <w:rPr>
                <w:rFonts w:ascii="Arial" w:hAnsi="Arial" w:cs="Arial"/>
                <w:bCs w:val="0"/>
                <w:caps w:val="0"/>
                <w:color w:val="FFFFFF" w:themeColor="background1"/>
                <w:sz w:val="32"/>
                <w:szCs w:val="32"/>
              </w:rPr>
              <w:t>Standards</w:t>
            </w:r>
          </w:p>
        </w:tc>
      </w:tr>
      <w:tr w:rsidR="00AB5A4F" w:rsidRPr="00D636D7" w14:paraId="28E4F3CA" w14:textId="77777777" w:rsidTr="00934CCE">
        <w:trPr>
          <w:trHeight w:val="5328"/>
          <w:jc w:val="center"/>
        </w:trPr>
        <w:tc>
          <w:tcPr>
            <w:tcW w:w="1863" w:type="pct"/>
            <w:tcMar>
              <w:right w:w="216" w:type="dxa"/>
            </w:tcMar>
          </w:tcPr>
          <w:p w14:paraId="5233B7E3" w14:textId="24CDD751" w:rsidR="00776105" w:rsidRPr="00B57F7C" w:rsidRDefault="00776105" w:rsidP="002606D8">
            <w:pPr>
              <w:spacing w:before="100"/>
              <w:rPr>
                <w:rFonts w:ascii="Arial" w:hAnsi="Arial" w:cs="Arial"/>
                <w:b/>
                <w:color w:val="005BBB"/>
                <w:sz w:val="26"/>
                <w:szCs w:val="26"/>
              </w:rPr>
            </w:pPr>
            <w:r w:rsidRPr="00B57F7C">
              <w:rPr>
                <w:rFonts w:ascii="Arial" w:hAnsi="Arial" w:cs="Arial"/>
                <w:b/>
                <w:color w:val="005BBB"/>
                <w:sz w:val="26"/>
                <w:szCs w:val="26"/>
              </w:rPr>
              <w:t>FASB Defer</w:t>
            </w:r>
            <w:r w:rsidR="00885699" w:rsidRPr="00B57F7C">
              <w:rPr>
                <w:rFonts w:ascii="Arial" w:hAnsi="Arial" w:cs="Arial"/>
                <w:b/>
                <w:color w:val="005BBB"/>
                <w:sz w:val="26"/>
                <w:szCs w:val="26"/>
              </w:rPr>
              <w:t>s</w:t>
            </w:r>
            <w:r w:rsidRPr="00B57F7C">
              <w:rPr>
                <w:rFonts w:ascii="Arial" w:hAnsi="Arial" w:cs="Arial"/>
                <w:b/>
                <w:color w:val="005BBB"/>
                <w:sz w:val="26"/>
                <w:szCs w:val="26"/>
              </w:rPr>
              <w:t xml:space="preserve"> Effective Dates for Three Major Accounting Standards</w:t>
            </w:r>
          </w:p>
          <w:p w14:paraId="25224DC4" w14:textId="5DD4B9A6" w:rsidR="00412227" w:rsidRPr="00CF01CB" w:rsidRDefault="00412227" w:rsidP="00CF01CB">
            <w:pPr>
              <w:rPr>
                <w:rFonts w:ascii="Arial" w:hAnsi="Arial" w:cs="Arial"/>
              </w:rPr>
            </w:pPr>
            <w:r w:rsidRPr="00CF01CB">
              <w:rPr>
                <w:rFonts w:ascii="Arial" w:hAnsi="Arial" w:cs="Arial"/>
              </w:rPr>
              <w:t>Effective dates will be delayed for private companies and certain other entities for</w:t>
            </w:r>
            <w:r w:rsidR="004925B4">
              <w:rPr>
                <w:rFonts w:ascii="Arial" w:hAnsi="Arial" w:cs="Arial"/>
              </w:rPr>
              <w:t xml:space="preserve"> the</w:t>
            </w:r>
            <w:r w:rsidRPr="00CF01CB">
              <w:rPr>
                <w:rFonts w:ascii="Arial" w:hAnsi="Arial" w:cs="Arial"/>
              </w:rPr>
              <w:t xml:space="preserve"> </w:t>
            </w:r>
            <w:r w:rsidR="004925B4" w:rsidRPr="004925B4">
              <w:rPr>
                <w:rFonts w:ascii="Arial" w:hAnsi="Arial" w:cs="Arial"/>
              </w:rPr>
              <w:t>Financial Accounting Standards Board</w:t>
            </w:r>
            <w:r w:rsidR="004925B4">
              <w:rPr>
                <w:rFonts w:ascii="Arial" w:hAnsi="Arial" w:cs="Arial"/>
              </w:rPr>
              <w:t>’s (</w:t>
            </w:r>
            <w:r w:rsidRPr="00CF01CB">
              <w:rPr>
                <w:rFonts w:ascii="Arial" w:hAnsi="Arial" w:cs="Arial"/>
              </w:rPr>
              <w:t>FASB</w:t>
            </w:r>
            <w:r w:rsidR="004925B4">
              <w:rPr>
                <w:rFonts w:ascii="Arial" w:hAnsi="Arial" w:cs="Arial"/>
              </w:rPr>
              <w:t>’s)</w:t>
            </w:r>
            <w:r w:rsidRPr="00CF01CB">
              <w:rPr>
                <w:rFonts w:ascii="Arial" w:hAnsi="Arial" w:cs="Arial"/>
              </w:rPr>
              <w:t xml:space="preserve"> standards on accounting for leases, credit losses (CECL) and hedging after </w:t>
            </w:r>
            <w:r w:rsidR="00776105" w:rsidRPr="0025049C">
              <w:rPr>
                <w:rFonts w:ascii="Arial" w:hAnsi="Arial" w:cs="Arial"/>
              </w:rPr>
              <w:t>a</w:t>
            </w:r>
            <w:r w:rsidRPr="00CF01CB">
              <w:rPr>
                <w:rFonts w:ascii="Arial" w:hAnsi="Arial" w:cs="Arial"/>
              </w:rPr>
              <w:t xml:space="preserve"> unanimous vote by FASB</w:t>
            </w:r>
            <w:r w:rsidR="001A5577" w:rsidRPr="00CF01CB">
              <w:rPr>
                <w:rFonts w:ascii="Arial" w:hAnsi="Arial" w:cs="Arial"/>
              </w:rPr>
              <w:t xml:space="preserve"> in October 2019</w:t>
            </w:r>
            <w:r w:rsidRPr="00CF01CB">
              <w:rPr>
                <w:rFonts w:ascii="Arial" w:hAnsi="Arial" w:cs="Arial"/>
              </w:rPr>
              <w:t xml:space="preserve">. FASB directed its staff to draft an Accounting Standards Update (ASU) that will change the effective dates and </w:t>
            </w:r>
            <w:r w:rsidR="004925B4">
              <w:rPr>
                <w:rFonts w:ascii="Arial" w:hAnsi="Arial" w:cs="Arial"/>
              </w:rPr>
              <w:t xml:space="preserve">will </w:t>
            </w:r>
            <w:r w:rsidRPr="00CF01CB">
              <w:rPr>
                <w:rFonts w:ascii="Arial" w:hAnsi="Arial" w:cs="Arial"/>
              </w:rPr>
              <w:t xml:space="preserve">be issued following a formal written ballot by </w:t>
            </w:r>
            <w:r w:rsidR="00885699">
              <w:rPr>
                <w:rFonts w:ascii="Arial" w:hAnsi="Arial" w:cs="Arial"/>
              </w:rPr>
              <w:t>FASB</w:t>
            </w:r>
            <w:r w:rsidRPr="00CF01CB">
              <w:rPr>
                <w:rFonts w:ascii="Arial" w:hAnsi="Arial" w:cs="Arial"/>
              </w:rPr>
              <w:t>, which is expected to take place in November. In a separate project, FASB voted to delay the effective date of its standard for accounting for insurance companies issuing long-term insurance contracts.</w:t>
            </w:r>
          </w:p>
          <w:p w14:paraId="300E2AED" w14:textId="4CF8CA46" w:rsidR="00412227" w:rsidRPr="00CF01CB" w:rsidRDefault="00AC4ABB" w:rsidP="00CF01CB">
            <w:pPr>
              <w:rPr>
                <w:rFonts w:ascii="Arial" w:hAnsi="Arial" w:cs="Arial"/>
              </w:rPr>
            </w:pPr>
            <w:r w:rsidRPr="00B57F7C">
              <w:rPr>
                <w:rFonts w:ascii="Arial" w:hAnsi="Arial" w:cs="Arial"/>
                <w:noProof/>
                <w:color w:val="005BBB"/>
              </w:rPr>
              <mc:AlternateContent>
                <mc:Choice Requires="wps">
                  <w:drawing>
                    <wp:anchor distT="0" distB="0" distL="114300" distR="114300" simplePos="0" relativeHeight="251675648" behindDoc="0" locked="0" layoutInCell="1" allowOverlap="1" wp14:anchorId="7B0C9C3F" wp14:editId="5208DA9D">
                      <wp:simplePos x="0" y="0"/>
                      <wp:positionH relativeFrom="column">
                        <wp:posOffset>769620</wp:posOffset>
                      </wp:positionH>
                      <wp:positionV relativeFrom="paragraph">
                        <wp:posOffset>1993900</wp:posOffset>
                      </wp:positionV>
                      <wp:extent cx="57150" cy="571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07CB" id="Rectangle 19" o:spid="_x0000_s1026" style="position:absolute;margin-left:60.6pt;margin-top:157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" fillcolor="#005bbb" strokecolor="#005bbb" strokeweight="1pt"/>
                  </w:pict>
                </mc:Fallback>
              </mc:AlternateContent>
            </w:r>
            <w:r w:rsidR="00412227" w:rsidRPr="00CF01CB">
              <w:rPr>
                <w:rFonts w:ascii="Arial" w:hAnsi="Arial" w:cs="Arial"/>
              </w:rPr>
              <w:t xml:space="preserve">FASB began considering the delays in response to concerns from </w:t>
            </w:r>
            <w:r w:rsidR="001A5577" w:rsidRPr="00CF01CB">
              <w:rPr>
                <w:rFonts w:ascii="Arial" w:hAnsi="Arial" w:cs="Arial"/>
              </w:rPr>
              <w:t>o</w:t>
            </w:r>
            <w:r w:rsidR="00412227" w:rsidRPr="00CF01CB">
              <w:rPr>
                <w:rFonts w:ascii="Arial" w:hAnsi="Arial" w:cs="Arial"/>
              </w:rPr>
              <w:t xml:space="preserve">verwhelmed preparers. Many of those concerns were voiced in a letter </w:t>
            </w:r>
            <w:r w:rsidR="009E0122">
              <w:rPr>
                <w:rFonts w:ascii="Arial" w:hAnsi="Arial" w:cs="Arial"/>
              </w:rPr>
              <w:t xml:space="preserve">that </w:t>
            </w:r>
            <w:r w:rsidR="00412227" w:rsidRPr="00CF01CB">
              <w:rPr>
                <w:rFonts w:ascii="Arial" w:hAnsi="Arial" w:cs="Arial"/>
              </w:rPr>
              <w:t xml:space="preserve">the AICPA’s Technical Issues Committee sent </w:t>
            </w:r>
            <w:r w:rsidR="009E0122">
              <w:rPr>
                <w:rFonts w:ascii="Arial" w:hAnsi="Arial" w:cs="Arial"/>
              </w:rPr>
              <w:t xml:space="preserve">to </w:t>
            </w:r>
            <w:r w:rsidR="00412227" w:rsidRPr="00CF01CB">
              <w:rPr>
                <w:rFonts w:ascii="Arial" w:hAnsi="Arial" w:cs="Arial"/>
              </w:rPr>
              <w:t xml:space="preserve">FASB in May </w:t>
            </w:r>
            <w:r w:rsidR="009E0122">
              <w:rPr>
                <w:rFonts w:ascii="Arial" w:hAnsi="Arial" w:cs="Arial"/>
              </w:rPr>
              <w:t>to request</w:t>
            </w:r>
            <w:r w:rsidR="009E0122" w:rsidRPr="00CF01CB">
              <w:rPr>
                <w:rFonts w:ascii="Arial" w:hAnsi="Arial" w:cs="Arial"/>
              </w:rPr>
              <w:t xml:space="preserve"> </w:t>
            </w:r>
            <w:r w:rsidR="00412227" w:rsidRPr="00CF01CB">
              <w:rPr>
                <w:rFonts w:ascii="Arial" w:hAnsi="Arial" w:cs="Arial"/>
              </w:rPr>
              <w:t>a delay in the effective date for private companies for the lease accounting standard.</w:t>
            </w:r>
            <w:r w:rsidR="003D4204" w:rsidRPr="00CF01CB">
              <w:rPr>
                <w:rFonts w:ascii="Arial" w:hAnsi="Arial" w:cs="Arial"/>
              </w:rPr>
              <w:t xml:space="preserve"> Refer to the </w:t>
            </w:r>
            <w:hyperlink r:id="rId13" w:history="1">
              <w:r w:rsidR="004925B4">
                <w:rPr>
                  <w:rStyle w:val="Hyperlink"/>
                  <w:rFonts w:ascii="Arial" w:hAnsi="Arial" w:cs="Arial"/>
                </w:rPr>
                <w:t>FASB Votes to Delay Effective Dates for 3 Major Standards</w:t>
              </w:r>
            </w:hyperlink>
            <w:r w:rsidR="003D4204" w:rsidRPr="00CF01CB">
              <w:rPr>
                <w:rFonts w:ascii="Arial" w:hAnsi="Arial" w:cs="Arial"/>
              </w:rPr>
              <w:t xml:space="preserve"> </w:t>
            </w:r>
            <w:r w:rsidR="003D4204" w:rsidRPr="00CF01CB">
              <w:rPr>
                <w:rFonts w:ascii="Arial" w:hAnsi="Arial" w:cs="Arial"/>
                <w:i/>
              </w:rPr>
              <w:t>Journal of Accountancy</w:t>
            </w:r>
            <w:r w:rsidR="003D4204" w:rsidRPr="00CF01CB">
              <w:rPr>
                <w:rFonts w:ascii="Arial" w:hAnsi="Arial" w:cs="Arial"/>
              </w:rPr>
              <w:t xml:space="preserve"> </w:t>
            </w:r>
            <w:r w:rsidR="00F75808" w:rsidRPr="00F75808">
              <w:rPr>
                <w:rFonts w:ascii="Arial" w:hAnsi="Arial" w:cs="Arial"/>
              </w:rPr>
              <w:t xml:space="preserve">article </w:t>
            </w:r>
            <w:r w:rsidR="003D4204" w:rsidRPr="00CF01CB">
              <w:rPr>
                <w:rFonts w:ascii="Arial" w:hAnsi="Arial" w:cs="Arial"/>
              </w:rPr>
              <w:t>for more information.</w:t>
            </w:r>
            <w:r w:rsidR="00D87CE9">
              <w:rPr>
                <w:rFonts w:ascii="Arial" w:hAnsi="Arial" w:cs="Arial"/>
              </w:rPr>
              <w:t xml:space="preserve"> </w:t>
            </w:r>
          </w:p>
          <w:p w14:paraId="2A918DF5" w14:textId="77777777" w:rsidR="009E0122" w:rsidRPr="00B57F7C" w:rsidRDefault="009E0122" w:rsidP="00CF01CB">
            <w:pPr>
              <w:rPr>
                <w:rFonts w:ascii="Arial" w:hAnsi="Arial" w:cs="Arial"/>
                <w:color w:val="005BBB"/>
                <w:sz w:val="26"/>
                <w:szCs w:val="26"/>
              </w:rPr>
            </w:pPr>
            <w:bookmarkStart w:id="1" w:name="_Hlk23748333"/>
            <w:r w:rsidRPr="00B57F7C">
              <w:rPr>
                <w:rFonts w:ascii="Arial" w:hAnsi="Arial" w:cs="Arial"/>
                <w:b/>
                <w:color w:val="005BBB"/>
                <w:sz w:val="26"/>
                <w:szCs w:val="26"/>
              </w:rPr>
              <w:t>Single Audits - 2019 Compliance Supplement</w:t>
            </w:r>
          </w:p>
          <w:p w14:paraId="2CFFAAE6" w14:textId="09145602" w:rsidR="003F4B29" w:rsidRPr="00CF01CB" w:rsidRDefault="00842D33" w:rsidP="00CF01CB">
            <w:pPr>
              <w:rPr>
                <w:rFonts w:ascii="Arial" w:hAnsi="Arial" w:cs="Arial"/>
              </w:rPr>
            </w:pPr>
            <w:r w:rsidRPr="00CF01CB">
              <w:rPr>
                <w:rFonts w:ascii="Arial" w:hAnsi="Arial" w:cs="Arial"/>
              </w:rPr>
              <w:t xml:space="preserve">The 2019 Compliance Supplement (Supplement) used for conducting single audits includes extensive changes from prior years. The most significant </w:t>
            </w:r>
            <w:r w:rsidR="00885699">
              <w:rPr>
                <w:rFonts w:ascii="Arial" w:hAnsi="Arial" w:cs="Arial"/>
              </w:rPr>
              <w:t xml:space="preserve">change </w:t>
            </w:r>
            <w:r w:rsidRPr="00CF01CB">
              <w:rPr>
                <w:rFonts w:ascii="Arial" w:hAnsi="Arial" w:cs="Arial"/>
              </w:rPr>
              <w:t xml:space="preserve">relates to the Office of Management and Budget (OMB) requirement for federal agencies </w:t>
            </w:r>
            <w:bookmarkEnd w:id="1"/>
            <w:r w:rsidR="008747E6" w:rsidRPr="00CF01CB">
              <w:rPr>
                <w:rFonts w:ascii="Arial" w:hAnsi="Arial" w:cs="Arial"/>
              </w:rPr>
              <w:t>to limit the number of</w:t>
            </w:r>
            <w:r w:rsidR="008747E6">
              <w:rPr>
                <w:rFonts w:ascii="Arial" w:hAnsi="Arial" w:cs="Arial"/>
              </w:rPr>
              <w:t xml:space="preserve"> </w:t>
            </w:r>
            <w:r w:rsidR="008747E6" w:rsidRPr="00CF01CB">
              <w:rPr>
                <w:rFonts w:ascii="Arial" w:hAnsi="Arial" w:cs="Arial"/>
              </w:rPr>
              <w:t>requirements identified as being</w:t>
            </w:r>
            <w:r w:rsidR="00776379">
              <w:rPr>
                <w:rFonts w:ascii="Arial" w:hAnsi="Arial" w:cs="Arial"/>
              </w:rPr>
              <w:t xml:space="preserve"> </w:t>
            </w:r>
            <w:r w:rsidR="00776379" w:rsidRPr="00CF01CB">
              <w:rPr>
                <w:rFonts w:ascii="Arial" w:hAnsi="Arial" w:cs="Arial"/>
              </w:rPr>
              <w:t>subject to the compliance audit</w:t>
            </w:r>
            <w:r w:rsidR="00776379">
              <w:rPr>
                <w:rFonts w:ascii="Arial" w:hAnsi="Arial" w:cs="Arial"/>
              </w:rPr>
              <w:t>; it was decreased</w:t>
            </w:r>
            <w:r w:rsidR="00776379" w:rsidRPr="00CF01CB">
              <w:rPr>
                <w:rFonts w:ascii="Arial" w:hAnsi="Arial" w:cs="Arial"/>
              </w:rPr>
              <w:t xml:space="preserve"> from a maximum</w:t>
            </w:r>
          </w:p>
        </w:tc>
        <w:tc>
          <w:tcPr>
            <w:tcW w:w="1691" w:type="pct"/>
            <w:gridSpan w:val="2"/>
            <w:tcMar>
              <w:right w:w="216" w:type="dxa"/>
            </w:tcMar>
          </w:tcPr>
          <w:p w14:paraId="3CDD5B04" w14:textId="77777777" w:rsidR="00885699" w:rsidRPr="00885699" w:rsidRDefault="00885699" w:rsidP="00885699">
            <w:pPr>
              <w:spacing w:after="0"/>
              <w:rPr>
                <w:rFonts w:ascii="Arial" w:hAnsi="Arial" w:cs="Arial"/>
                <w:sz w:val="10"/>
                <w:szCs w:val="10"/>
              </w:rPr>
            </w:pPr>
          </w:p>
          <w:p w14:paraId="674C0A8D" w14:textId="28866646" w:rsidR="00E9728B" w:rsidRPr="00CF01CB" w:rsidRDefault="002606D8" w:rsidP="00CF01CB">
            <w:pPr>
              <w:rPr>
                <w:rFonts w:ascii="Arial" w:hAnsi="Arial" w:cs="Arial"/>
              </w:rPr>
            </w:pPr>
            <w:r w:rsidRPr="00CF01CB">
              <w:rPr>
                <w:rFonts w:ascii="Arial" w:hAnsi="Arial" w:cs="Arial"/>
              </w:rPr>
              <w:t>of</w:t>
            </w:r>
            <w:r>
              <w:rPr>
                <w:rFonts w:ascii="Arial" w:hAnsi="Arial" w:cs="Arial"/>
              </w:rPr>
              <w:t xml:space="preserve"> </w:t>
            </w:r>
            <w:r w:rsidR="002118A9">
              <w:rPr>
                <w:rFonts w:ascii="Arial" w:hAnsi="Arial" w:cs="Arial"/>
              </w:rPr>
              <w:t xml:space="preserve">12 to </w:t>
            </w:r>
            <w:r w:rsidR="00B010A5">
              <w:rPr>
                <w:rFonts w:ascii="Arial" w:hAnsi="Arial" w:cs="Arial"/>
              </w:rPr>
              <w:t>6</w:t>
            </w:r>
            <w:r w:rsidR="00B010A5" w:rsidRPr="00A41C29">
              <w:rPr>
                <w:rFonts w:ascii="Arial" w:hAnsi="Arial" w:cs="Arial"/>
              </w:rPr>
              <w:t>.</w:t>
            </w:r>
            <w:r>
              <w:rPr>
                <w:rFonts w:ascii="Arial" w:hAnsi="Arial" w:cs="Arial"/>
              </w:rPr>
              <w:t xml:space="preserve"> </w:t>
            </w:r>
            <w:r w:rsidR="00B010A5" w:rsidRPr="00A41C29">
              <w:rPr>
                <w:rFonts w:ascii="Arial" w:hAnsi="Arial" w:cs="Arial"/>
              </w:rPr>
              <w:t>The Supplement was issued to reflect these change</w:t>
            </w:r>
            <w:r w:rsidR="00B010A5">
              <w:rPr>
                <w:rFonts w:ascii="Arial" w:hAnsi="Arial" w:cs="Arial"/>
              </w:rPr>
              <w:t>s</w:t>
            </w:r>
            <w:r w:rsidR="00B010A5" w:rsidRPr="00A41C29">
              <w:rPr>
                <w:rFonts w:ascii="Arial" w:hAnsi="Arial" w:cs="Arial"/>
              </w:rPr>
              <w:t xml:space="preserve"> (June 2019</w:t>
            </w:r>
            <w:r w:rsidR="00B010A5">
              <w:rPr>
                <w:rFonts w:ascii="Arial" w:hAnsi="Arial" w:cs="Arial"/>
              </w:rPr>
              <w:t xml:space="preserve"> </w:t>
            </w:r>
            <w:r w:rsidR="00E9728B" w:rsidRPr="00CF01CB">
              <w:rPr>
                <w:rFonts w:ascii="Arial" w:hAnsi="Arial" w:cs="Arial"/>
              </w:rPr>
              <w:t>edition). The OMB issued a correction edition of the Supplement in September 2019 (August 2019 edition) to address errors in the originally issued Supplement. In October 2019, the U.S. Census Bureau</w:t>
            </w:r>
            <w:r w:rsidR="0025049C">
              <w:rPr>
                <w:rFonts w:ascii="Arial" w:hAnsi="Arial" w:cs="Arial"/>
              </w:rPr>
              <w:t>,</w:t>
            </w:r>
            <w:r w:rsidR="00E9728B" w:rsidRPr="00CF01CB">
              <w:rPr>
                <w:rFonts w:ascii="Arial" w:hAnsi="Arial" w:cs="Arial"/>
              </w:rPr>
              <w:t xml:space="preserve"> on behalf of OMB</w:t>
            </w:r>
            <w:r w:rsidR="0025049C">
              <w:rPr>
                <w:rFonts w:ascii="Arial" w:hAnsi="Arial" w:cs="Arial"/>
              </w:rPr>
              <w:t>,</w:t>
            </w:r>
            <w:r w:rsidR="00E9728B" w:rsidRPr="00CF01CB">
              <w:rPr>
                <w:rFonts w:ascii="Arial" w:hAnsi="Arial" w:cs="Arial"/>
              </w:rPr>
              <w:t xml:space="preserve"> sent an e-mail to every auditor and auditee of record in the Federal Audit Clearinghouse (FAC) to clarify the effect of the correction Supplement on audits that have already been submitted to the FAC, </w:t>
            </w:r>
            <w:r w:rsidR="00885699">
              <w:rPr>
                <w:rFonts w:ascii="Arial" w:hAnsi="Arial" w:cs="Arial"/>
              </w:rPr>
              <w:t>and</w:t>
            </w:r>
            <w:r w:rsidR="00E9728B" w:rsidRPr="00CF01CB">
              <w:rPr>
                <w:rFonts w:ascii="Arial" w:hAnsi="Arial" w:cs="Arial"/>
              </w:rPr>
              <w:t xml:space="preserve"> audits near completion. The e-mail instructs auditors as follows for single audits subject to the Supplement (i.e., audits of fiscal years beginning after June 30, 2018):</w:t>
            </w:r>
          </w:p>
          <w:p w14:paraId="6B3DAA9F" w14:textId="00D67ECB" w:rsidR="00E9728B" w:rsidRPr="00CF01CB" w:rsidRDefault="00E9728B" w:rsidP="00CF01CB">
            <w:pPr>
              <w:pStyle w:val="ListParagraph"/>
              <w:numPr>
                <w:ilvl w:val="0"/>
                <w:numId w:val="3"/>
              </w:numPr>
              <w:spacing w:after="0"/>
              <w:ind w:left="332" w:hanging="274"/>
              <w:rPr>
                <w:rFonts w:ascii="Arial" w:hAnsi="Arial" w:cs="Arial"/>
                <w:sz w:val="22"/>
                <w:szCs w:val="22"/>
              </w:rPr>
            </w:pPr>
            <w:r w:rsidRPr="00CF01CB">
              <w:rPr>
                <w:rFonts w:ascii="Arial" w:hAnsi="Arial" w:cs="Arial"/>
                <w:sz w:val="22"/>
                <w:szCs w:val="22"/>
              </w:rPr>
              <w:t>Auditors are permitted to perform the audit using either the June or August 2019 edition of the Supplement for reports dated on or before October 31, 2019.</w:t>
            </w:r>
          </w:p>
          <w:p w14:paraId="37C78914" w14:textId="77777777" w:rsidR="00E9728B" w:rsidRDefault="00E9728B" w:rsidP="00CF01CB">
            <w:pPr>
              <w:pStyle w:val="ListParagraph"/>
              <w:numPr>
                <w:ilvl w:val="0"/>
                <w:numId w:val="3"/>
              </w:numPr>
              <w:spacing w:after="0"/>
              <w:ind w:left="332" w:hanging="274"/>
              <w:rPr>
                <w:rFonts w:ascii="Arial" w:hAnsi="Arial" w:cs="Arial"/>
                <w:sz w:val="22"/>
                <w:szCs w:val="22"/>
              </w:rPr>
            </w:pPr>
            <w:r w:rsidRPr="00CF01CB">
              <w:rPr>
                <w:rFonts w:ascii="Arial" w:hAnsi="Arial" w:cs="Arial"/>
                <w:sz w:val="22"/>
                <w:szCs w:val="22"/>
              </w:rPr>
              <w:t>Auditors are required to perform the audit using the August 2019 edition for reports dated after October 31, 2019.</w:t>
            </w:r>
          </w:p>
          <w:p w14:paraId="7CE28CB8" w14:textId="77777777" w:rsidR="00AA1324" w:rsidRPr="00CF01CB" w:rsidRDefault="00AA1324" w:rsidP="00CF01CB">
            <w:pPr>
              <w:pStyle w:val="ListParagraph"/>
              <w:spacing w:after="0"/>
              <w:ind w:left="332"/>
              <w:rPr>
                <w:rFonts w:ascii="Arial" w:hAnsi="Arial" w:cs="Arial"/>
                <w:sz w:val="22"/>
                <w:szCs w:val="22"/>
              </w:rPr>
            </w:pPr>
          </w:p>
          <w:p w14:paraId="1A3D617D" w14:textId="34E5DE70" w:rsidR="0022312A" w:rsidRPr="00CF01CB" w:rsidRDefault="00E9728B" w:rsidP="00CF01CB">
            <w:pPr>
              <w:rPr>
                <w:rFonts w:ascii="Arial" w:hAnsi="Arial" w:cs="Arial"/>
              </w:rPr>
            </w:pPr>
            <w:r w:rsidRPr="00CF01CB">
              <w:rPr>
                <w:rFonts w:ascii="Arial" w:hAnsi="Arial" w:cs="Arial"/>
              </w:rPr>
              <w:t xml:space="preserve">Auditors should document the version of the Supplement used for the audit. You can find the </w:t>
            </w:r>
            <w:hyperlink r:id="rId14" w:history="1">
              <w:r w:rsidRPr="00CF01CB">
                <w:rPr>
                  <w:rStyle w:val="Hyperlink"/>
                  <w:rFonts w:ascii="Arial" w:hAnsi="Arial" w:cs="Arial"/>
                </w:rPr>
                <w:t>August 2019 edition of the Supplement</w:t>
              </w:r>
            </w:hyperlink>
            <w:r w:rsidRPr="00CF01CB">
              <w:rPr>
                <w:rFonts w:ascii="Arial" w:hAnsi="Arial" w:cs="Arial"/>
              </w:rPr>
              <w:t xml:space="preserve"> in one large PDF file on the</w:t>
            </w:r>
            <w:r w:rsidRPr="00CF01CB">
              <w:rPr>
                <w:rFonts w:ascii="Arial" w:hAnsi="Arial" w:cs="Arial"/>
                <w:color w:val="000000"/>
              </w:rPr>
              <w:t xml:space="preserve"> </w:t>
            </w:r>
            <w:r w:rsidR="009B4D58" w:rsidRPr="00885699">
              <w:rPr>
                <w:rFonts w:ascii="Arial" w:hAnsi="Arial" w:cs="Arial"/>
              </w:rPr>
              <w:t>OMB</w:t>
            </w:r>
            <w:r w:rsidR="000B56D8">
              <w:rPr>
                <w:rStyle w:val="Hyperlink"/>
                <w:rFonts w:ascii="Arial" w:hAnsi="Arial" w:cs="Arial"/>
                <w:u w:val="none"/>
              </w:rPr>
              <w:t xml:space="preserve"> </w:t>
            </w:r>
            <w:r w:rsidR="000B56D8" w:rsidRPr="00CF01CB">
              <w:rPr>
                <w:rStyle w:val="Hyperlink"/>
                <w:rFonts w:ascii="Arial" w:hAnsi="Arial" w:cs="Arial"/>
                <w:color w:val="auto"/>
                <w:u w:val="none"/>
              </w:rPr>
              <w:t>website</w:t>
            </w:r>
            <w:r w:rsidRPr="00CF01CB">
              <w:rPr>
                <w:rFonts w:ascii="Arial" w:hAnsi="Arial" w:cs="Arial"/>
                <w:color w:val="000000"/>
              </w:rPr>
              <w:t xml:space="preserve">. </w:t>
            </w:r>
            <w:r w:rsidRPr="00CF01CB">
              <w:rPr>
                <w:rFonts w:ascii="Arial" w:hAnsi="Arial" w:cs="Arial"/>
              </w:rPr>
              <w:t>However, the Governmental Audit Quality Center (GAQC) has posted the August 2019 edition</w:t>
            </w:r>
            <w:r w:rsidR="000B56D8">
              <w:rPr>
                <w:rFonts w:ascii="Arial" w:hAnsi="Arial" w:cs="Arial"/>
              </w:rPr>
              <w:t>,</w:t>
            </w:r>
            <w:r w:rsidRPr="00CF01CB">
              <w:rPr>
                <w:rFonts w:ascii="Arial" w:hAnsi="Arial" w:cs="Arial"/>
              </w:rPr>
              <w:t xml:space="preserve"> broken down by section</w:t>
            </w:r>
            <w:r w:rsidR="000B56D8">
              <w:rPr>
                <w:rFonts w:ascii="Arial" w:hAnsi="Arial" w:cs="Arial"/>
              </w:rPr>
              <w:t>,</w:t>
            </w:r>
            <w:r w:rsidRPr="00CF01CB">
              <w:rPr>
                <w:rFonts w:ascii="Arial" w:hAnsi="Arial" w:cs="Arial"/>
              </w:rPr>
              <w:t xml:space="preserve"> on the </w:t>
            </w:r>
            <w:hyperlink r:id="rId15" w:history="1">
              <w:r w:rsidR="00B23553">
                <w:rPr>
                  <w:rStyle w:val="Hyperlink"/>
                  <w:rFonts w:ascii="Arial" w:hAnsi="Arial" w:cs="Arial"/>
                </w:rPr>
                <w:t>2019 OMB Compliance Supplement</w:t>
              </w:r>
            </w:hyperlink>
            <w:r w:rsidR="000B56D8">
              <w:rPr>
                <w:rStyle w:val="Hyperlink"/>
                <w:rFonts w:ascii="Arial" w:hAnsi="Arial" w:cs="Arial"/>
                <w:u w:val="none"/>
              </w:rPr>
              <w:t xml:space="preserve"> </w:t>
            </w:r>
            <w:r w:rsidR="000B56D8" w:rsidRPr="00CF01CB">
              <w:rPr>
                <w:rStyle w:val="Hyperlink"/>
                <w:rFonts w:ascii="Arial" w:hAnsi="Arial" w:cs="Arial"/>
                <w:color w:val="auto"/>
                <w:u w:val="none"/>
              </w:rPr>
              <w:t>web</w:t>
            </w:r>
            <w:r w:rsidR="00885699">
              <w:rPr>
                <w:rStyle w:val="Hyperlink"/>
                <w:rFonts w:ascii="Arial" w:hAnsi="Arial" w:cs="Arial"/>
                <w:color w:val="auto"/>
                <w:u w:val="none"/>
              </w:rPr>
              <w:t xml:space="preserve">  </w:t>
            </w:r>
            <w:r w:rsidR="000B56D8" w:rsidRPr="00CF01CB">
              <w:rPr>
                <w:rStyle w:val="Hyperlink"/>
                <w:rFonts w:ascii="Arial" w:hAnsi="Arial" w:cs="Arial"/>
                <w:color w:val="auto"/>
                <w:u w:val="none"/>
              </w:rPr>
              <w:t>page</w:t>
            </w:r>
            <w:r w:rsidRPr="00CF01CB">
              <w:rPr>
                <w:rFonts w:ascii="Arial" w:hAnsi="Arial" w:cs="Arial"/>
                <w:color w:val="000000"/>
              </w:rPr>
              <w:t xml:space="preserve">, </w:t>
            </w:r>
            <w:r w:rsidRPr="00CF01CB">
              <w:rPr>
                <w:rFonts w:ascii="Arial" w:hAnsi="Arial" w:cs="Arial"/>
              </w:rPr>
              <w:t xml:space="preserve">along with an indication of which sections were changed. Firms performing governmental engagements are encouraged to join and utilize the GAQC to keep </w:t>
            </w:r>
            <w:r w:rsidR="00776379" w:rsidRPr="00CF01CB">
              <w:rPr>
                <w:rFonts w:ascii="Arial" w:hAnsi="Arial" w:cs="Arial"/>
              </w:rPr>
              <w:t>abreast of changes that</w:t>
            </w:r>
            <w:r w:rsidR="00776379">
              <w:rPr>
                <w:rFonts w:ascii="Arial" w:hAnsi="Arial" w:cs="Arial"/>
              </w:rPr>
              <w:t xml:space="preserve"> </w:t>
            </w:r>
            <w:r w:rsidR="00776379" w:rsidRPr="00776379">
              <w:rPr>
                <w:rFonts w:ascii="Arial" w:hAnsi="Arial" w:cs="Arial"/>
              </w:rPr>
              <w:t>impact the quality</w:t>
            </w:r>
          </w:p>
        </w:tc>
        <w:tc>
          <w:tcPr>
            <w:tcW w:w="1447" w:type="pct"/>
            <w:gridSpan w:val="2"/>
            <w:tcMar>
              <w:left w:w="43" w:type="dxa"/>
              <w:right w:w="72" w:type="dxa"/>
            </w:tcMar>
          </w:tcPr>
          <w:p w14:paraId="0A50A7FA" w14:textId="77777777" w:rsidR="00885699" w:rsidRPr="00885699" w:rsidRDefault="00885699" w:rsidP="00885699">
            <w:pPr>
              <w:spacing w:after="0"/>
              <w:rPr>
                <w:rFonts w:ascii="Arial" w:hAnsi="Arial" w:cs="Arial"/>
                <w:sz w:val="10"/>
                <w:szCs w:val="10"/>
              </w:rPr>
            </w:pPr>
          </w:p>
          <w:p w14:paraId="2D79E786" w14:textId="59EB12BA" w:rsidR="002606D8" w:rsidRDefault="00211952" w:rsidP="00CF01CB">
            <w:pPr>
              <w:rPr>
                <w:rFonts w:ascii="Arial" w:hAnsi="Arial" w:cs="Arial"/>
              </w:rPr>
            </w:pPr>
            <w:r w:rsidRPr="00B57F7C">
              <w:rPr>
                <w:rFonts w:ascii="Arial" w:hAnsi="Arial" w:cs="Arial"/>
                <w:noProof/>
                <w:color w:val="005BBB"/>
              </w:rPr>
              <mc:AlternateContent>
                <mc:Choice Requires="wps">
                  <w:drawing>
                    <wp:anchor distT="0" distB="0" distL="114300" distR="114300" simplePos="0" relativeHeight="251669504" behindDoc="0" locked="0" layoutInCell="1" allowOverlap="1" wp14:anchorId="3019D17B" wp14:editId="09D89DFF">
                      <wp:simplePos x="0" y="0"/>
                      <wp:positionH relativeFrom="column">
                        <wp:posOffset>821055</wp:posOffset>
                      </wp:positionH>
                      <wp:positionV relativeFrom="paragraph">
                        <wp:posOffset>1355090</wp:posOffset>
                      </wp:positionV>
                      <wp:extent cx="57150" cy="571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66DB" id="Rectangle 16" o:spid="_x0000_s1026" style="position:absolute;margin-left:64.65pt;margin-top:106.7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" fillcolor="#005bbb" strokecolor="#005bbb" strokeweight="1pt"/>
                  </w:pict>
                </mc:Fallback>
              </mc:AlternateContent>
            </w:r>
            <w:r w:rsidR="002606D8" w:rsidRPr="00CF01CB">
              <w:rPr>
                <w:rFonts w:ascii="Arial" w:hAnsi="Arial" w:cs="Arial"/>
              </w:rPr>
              <w:t xml:space="preserve">of such engagements. If you have questions about the FAC e-mail or the corrected edition of the 2019 Supplement, contact the National Single Audit Coordinator (NSAC) using the contact information found in </w:t>
            </w:r>
            <w:hyperlink r:id="rId16" w:history="1">
              <w:r w:rsidR="00885699">
                <w:rPr>
                  <w:rStyle w:val="Hyperlink"/>
                  <w:rFonts w:ascii="Arial" w:hAnsi="Arial" w:cs="Arial"/>
                </w:rPr>
                <w:t>the Supplement’s A</w:t>
              </w:r>
              <w:r w:rsidR="002606D8" w:rsidRPr="00CF01CB">
                <w:rPr>
                  <w:rStyle w:val="Hyperlink"/>
                  <w:rFonts w:ascii="Arial" w:hAnsi="Arial" w:cs="Arial"/>
                </w:rPr>
                <w:t>ppendix III</w:t>
              </w:r>
            </w:hyperlink>
            <w:r w:rsidR="002606D8" w:rsidRPr="00CF01CB">
              <w:rPr>
                <w:rFonts w:ascii="Arial" w:hAnsi="Arial" w:cs="Arial"/>
              </w:rPr>
              <w:t>.</w:t>
            </w:r>
            <w:r>
              <w:rPr>
                <w:rFonts w:ascii="Arial" w:hAnsi="Arial" w:cs="Arial"/>
              </w:rPr>
              <w:t xml:space="preserve"> </w:t>
            </w:r>
          </w:p>
          <w:p w14:paraId="3FD1A897" w14:textId="654BF16E" w:rsidR="009143F0" w:rsidRPr="00B57F7C" w:rsidRDefault="009143F0" w:rsidP="002606D8">
            <w:pPr>
              <w:spacing w:before="100"/>
              <w:rPr>
                <w:rFonts w:ascii="Arial" w:hAnsi="Arial" w:cs="Arial"/>
                <w:color w:val="005BBB"/>
                <w:sz w:val="26"/>
                <w:szCs w:val="26"/>
              </w:rPr>
            </w:pPr>
            <w:r w:rsidRPr="00B57F7C">
              <w:rPr>
                <w:rFonts w:ascii="Arial" w:hAnsi="Arial" w:cs="Arial"/>
                <w:b/>
                <w:color w:val="005BBB"/>
                <w:sz w:val="26"/>
                <w:szCs w:val="26"/>
              </w:rPr>
              <w:t>Auditing Standards Issued in 2019: Information and Resources</w:t>
            </w:r>
          </w:p>
          <w:p w14:paraId="693D7AD3" w14:textId="0E7EDC33" w:rsidR="00D636D7" w:rsidRPr="00CF01CB" w:rsidRDefault="00526BF8" w:rsidP="00CF01CB">
            <w:pPr>
              <w:rPr>
                <w:rFonts w:ascii="Arial" w:hAnsi="Arial" w:cs="Arial"/>
              </w:rPr>
            </w:pPr>
            <w:r w:rsidRPr="00B57F7C">
              <w:rPr>
                <w:rFonts w:ascii="Arial" w:hAnsi="Arial" w:cs="Arial"/>
                <w:noProof/>
                <w:color w:val="005BBB"/>
              </w:rPr>
              <mc:AlternateContent>
                <mc:Choice Requires="wps">
                  <w:drawing>
                    <wp:anchor distT="0" distB="0" distL="114300" distR="114300" simplePos="0" relativeHeight="251671552" behindDoc="0" locked="0" layoutInCell="1" allowOverlap="1" wp14:anchorId="67143D3B" wp14:editId="352C2E78">
                      <wp:simplePos x="0" y="0"/>
                      <wp:positionH relativeFrom="column">
                        <wp:posOffset>1148715</wp:posOffset>
                      </wp:positionH>
                      <wp:positionV relativeFrom="paragraph">
                        <wp:posOffset>2150745</wp:posOffset>
                      </wp:positionV>
                      <wp:extent cx="57150" cy="571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CBB93" id="Rectangle 17" o:spid="_x0000_s1026" style="position:absolute;margin-left:90.45pt;margin-top:169.35pt;width:4.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" fillcolor="#005bbb" strokecolor="#005bbb" strokeweight="1pt"/>
                  </w:pict>
                </mc:Fallback>
              </mc:AlternateContent>
            </w:r>
            <w:r w:rsidR="00404E8E" w:rsidRPr="00CF01CB">
              <w:rPr>
                <w:rFonts w:ascii="Arial" w:hAnsi="Arial" w:cs="Arial"/>
              </w:rPr>
              <w:t xml:space="preserve">This is an exciting time in the auditing space. Standards are changing to keep up with today’s business environment. To set you up for success, we’ve gathered </w:t>
            </w:r>
            <w:hyperlink r:id="rId17" w:history="1">
              <w:r w:rsidR="001B7C30">
                <w:rPr>
                  <w:rStyle w:val="Hyperlink"/>
                  <w:rFonts w:ascii="Arial" w:hAnsi="Arial" w:cs="Arial"/>
                </w:rPr>
                <w:t>resources on auditing standards</w:t>
              </w:r>
            </w:hyperlink>
            <w:r w:rsidR="009143F0">
              <w:rPr>
                <w:rStyle w:val="Hyperlink"/>
                <w:rFonts w:ascii="Arial" w:hAnsi="Arial" w:cs="Arial"/>
                <w:u w:val="none"/>
              </w:rPr>
              <w:t xml:space="preserve"> </w:t>
            </w:r>
            <w:r w:rsidR="001B7C30">
              <w:rPr>
                <w:rStyle w:val="Hyperlink"/>
                <w:rFonts w:ascii="Arial" w:hAnsi="Arial" w:cs="Arial"/>
                <w:color w:val="auto"/>
                <w:u w:val="none"/>
              </w:rPr>
              <w:t xml:space="preserve">that include </w:t>
            </w:r>
            <w:r w:rsidR="009143F0" w:rsidRPr="00CF01CB">
              <w:rPr>
                <w:rStyle w:val="Hyperlink"/>
                <w:rFonts w:ascii="Arial" w:hAnsi="Arial" w:cs="Arial"/>
                <w:color w:val="auto"/>
                <w:u w:val="none"/>
              </w:rPr>
              <w:t>on changes</w:t>
            </w:r>
            <w:r w:rsidR="00404E8E" w:rsidRPr="00CF01CB">
              <w:rPr>
                <w:rFonts w:ascii="Arial" w:hAnsi="Arial" w:cs="Arial"/>
              </w:rPr>
              <w:t xml:space="preserve"> to the auditing reporting standard, the employee benefit plan auditing standard and the other information standard. These include backgrounders, FAQ</w:t>
            </w:r>
            <w:r w:rsidR="00885699">
              <w:rPr>
                <w:rFonts w:ascii="Arial" w:hAnsi="Arial" w:cs="Arial"/>
              </w:rPr>
              <w:t>s</w:t>
            </w:r>
            <w:r w:rsidR="00404E8E" w:rsidRPr="00CF01CB">
              <w:rPr>
                <w:rFonts w:ascii="Arial" w:hAnsi="Arial" w:cs="Arial"/>
              </w:rPr>
              <w:t xml:space="preserve"> and news articles.</w:t>
            </w:r>
            <w:r w:rsidR="009914E3">
              <w:rPr>
                <w:rFonts w:ascii="Arial" w:hAnsi="Arial" w:cs="Arial"/>
              </w:rPr>
              <w:t xml:space="preserve"> </w:t>
            </w:r>
          </w:p>
          <w:p w14:paraId="769DE5EA" w14:textId="77777777" w:rsidR="00DB21F5" w:rsidRPr="00B57F7C" w:rsidRDefault="00DB21F5" w:rsidP="00CF01CB">
            <w:pPr>
              <w:rPr>
                <w:rFonts w:ascii="Arial" w:hAnsi="Arial" w:cs="Arial"/>
                <w:color w:val="005BBB"/>
                <w:sz w:val="26"/>
                <w:szCs w:val="26"/>
              </w:rPr>
            </w:pPr>
            <w:r w:rsidRPr="00B57F7C">
              <w:rPr>
                <w:rFonts w:ascii="Arial" w:hAnsi="Arial" w:cs="Arial"/>
                <w:b/>
                <w:color w:val="005BBB"/>
                <w:sz w:val="26"/>
                <w:szCs w:val="26"/>
              </w:rPr>
              <w:t xml:space="preserve">Changes on the Horizon for Quality Management </w:t>
            </w:r>
          </w:p>
          <w:p w14:paraId="228A261D" w14:textId="6AD6B38E" w:rsidR="00404E8E" w:rsidRPr="00CF01CB" w:rsidRDefault="00AC4ABB" w:rsidP="00CF01CB">
            <w:pPr>
              <w:rPr>
                <w:rFonts w:ascii="Arial" w:hAnsi="Arial" w:cs="Arial"/>
              </w:rPr>
            </w:pPr>
            <w:r w:rsidRPr="00B57F7C">
              <w:rPr>
                <w:rFonts w:ascii="Arial" w:hAnsi="Arial" w:cs="Arial"/>
                <w:noProof/>
                <w:color w:val="005BBB"/>
              </w:rPr>
              <mc:AlternateContent>
                <mc:Choice Requires="wps">
                  <w:drawing>
                    <wp:anchor distT="0" distB="0" distL="114300" distR="114300" simplePos="0" relativeHeight="251673600" behindDoc="0" locked="0" layoutInCell="1" allowOverlap="1" wp14:anchorId="324219B6" wp14:editId="626B0D8B">
                      <wp:simplePos x="0" y="0"/>
                      <wp:positionH relativeFrom="column">
                        <wp:posOffset>1148715</wp:posOffset>
                      </wp:positionH>
                      <wp:positionV relativeFrom="paragraph">
                        <wp:posOffset>2962910</wp:posOffset>
                      </wp:positionV>
                      <wp:extent cx="57150" cy="571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972F1" id="Rectangle 18" o:spid="_x0000_s1026" style="position:absolute;margin-left:90.45pt;margin-top:233.3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" fillcolor="#005bbb" strokecolor="#005bbb" strokeweight="1pt"/>
                  </w:pict>
                </mc:Fallback>
              </mc:AlternateContent>
            </w:r>
            <w:r w:rsidR="00C05148" w:rsidRPr="00CF01CB">
              <w:rPr>
                <w:rFonts w:ascii="Arial" w:hAnsi="Arial" w:cs="Arial"/>
              </w:rPr>
              <w:t>The</w:t>
            </w:r>
            <w:r w:rsidR="009143F0">
              <w:t xml:space="preserve"> </w:t>
            </w:r>
            <w:r w:rsidR="009143F0" w:rsidRPr="009143F0">
              <w:rPr>
                <w:rFonts w:ascii="Arial" w:hAnsi="Arial" w:cs="Arial"/>
              </w:rPr>
              <w:t>International Auditing and Assurance Standards Board</w:t>
            </w:r>
            <w:r w:rsidR="009143F0">
              <w:rPr>
                <w:rFonts w:ascii="Arial" w:hAnsi="Arial" w:cs="Arial"/>
              </w:rPr>
              <w:t xml:space="preserve"> (</w:t>
            </w:r>
            <w:r w:rsidR="00C05148" w:rsidRPr="00CF01CB">
              <w:rPr>
                <w:rFonts w:ascii="Arial" w:hAnsi="Arial" w:cs="Arial"/>
              </w:rPr>
              <w:t>IAASB</w:t>
            </w:r>
            <w:r w:rsidR="009143F0">
              <w:rPr>
                <w:rFonts w:ascii="Arial" w:hAnsi="Arial" w:cs="Arial"/>
              </w:rPr>
              <w:t>)</w:t>
            </w:r>
            <w:r w:rsidR="00C05148" w:rsidRPr="00CF01CB">
              <w:rPr>
                <w:rFonts w:ascii="Arial" w:hAnsi="Arial" w:cs="Arial"/>
              </w:rPr>
              <w:t xml:space="preserve"> is developing new Quality Management standards that would take a risk-based approach to managing quality at the firm and engagement level. The approach is designed to address firms’ individual circumstances once they have identified and assessed their </w:t>
            </w:r>
            <w:proofErr w:type="gramStart"/>
            <w:r w:rsidR="00C05148" w:rsidRPr="00CF01CB">
              <w:rPr>
                <w:rFonts w:ascii="Arial" w:hAnsi="Arial" w:cs="Arial"/>
              </w:rPr>
              <w:t>particular factors</w:t>
            </w:r>
            <w:proofErr w:type="gramEnd"/>
            <w:r w:rsidR="00C05148" w:rsidRPr="00CF01CB">
              <w:rPr>
                <w:rFonts w:ascii="Arial" w:hAnsi="Arial" w:cs="Arial"/>
              </w:rPr>
              <w:t xml:space="preserve"> that could be a risk to delivering high quality services. The IAASB expects to issue final standards in the second half of 2020. The ASB intends to converge with the IAASB standards. </w:t>
            </w:r>
          </w:p>
        </w:tc>
      </w:tr>
      <w:tr w:rsidR="001D41D0" w:rsidRPr="00616EA8" w14:paraId="3EFD2843" w14:textId="77777777" w:rsidTr="00587FD3">
        <w:tblPrEx>
          <w:jc w:val="left"/>
        </w:tblPrEx>
        <w:trPr>
          <w:gridAfter w:val="1"/>
          <w:wAfter w:w="127" w:type="pct"/>
          <w:trHeight w:val="13731"/>
        </w:trPr>
        <w:tc>
          <w:tcPr>
            <w:tcW w:w="2895" w:type="pct"/>
            <w:gridSpan w:val="2"/>
            <w:tcBorders>
              <w:right w:val="single" w:sz="12" w:space="0" w:color="005BBB"/>
            </w:tcBorders>
            <w:tcMar>
              <w:right w:w="216" w:type="dxa"/>
            </w:tcMar>
          </w:tcPr>
          <w:p w14:paraId="72694A45" w14:textId="77777777" w:rsidR="00176141" w:rsidRPr="00A61B29" w:rsidRDefault="00DB21F5" w:rsidP="001B6FD5">
            <w:pPr>
              <w:shd w:val="clear" w:color="auto" w:fill="FFFFFF"/>
              <w:spacing w:line="259" w:lineRule="auto"/>
              <w:jc w:val="both"/>
              <w:rPr>
                <w:rFonts w:ascii="Arial" w:hAnsi="Arial" w:cs="Arial"/>
                <w:color w:val="005BBB"/>
                <w:sz w:val="26"/>
                <w:szCs w:val="26"/>
              </w:rPr>
            </w:pPr>
            <w:r w:rsidRPr="00A61B29">
              <w:rPr>
                <w:rFonts w:ascii="Arial" w:hAnsi="Arial" w:cs="Arial"/>
                <w:b/>
                <w:color w:val="005BBB"/>
                <w:sz w:val="26"/>
                <w:szCs w:val="26"/>
              </w:rPr>
              <w:lastRenderedPageBreak/>
              <w:t>Auditor Reporting</w:t>
            </w:r>
          </w:p>
          <w:p w14:paraId="4C533A9E" w14:textId="036083D8" w:rsidR="001D41D0" w:rsidRDefault="001D41D0" w:rsidP="001B6FD5">
            <w:pPr>
              <w:shd w:val="clear" w:color="auto" w:fill="FFFFFF"/>
              <w:spacing w:after="0" w:line="259" w:lineRule="auto"/>
              <w:rPr>
                <w:rFonts w:ascii="Arial" w:hAnsi="Arial" w:cs="Arial"/>
                <w:color w:val="111111"/>
              </w:rPr>
            </w:pPr>
            <w:r w:rsidRPr="00CF01CB">
              <w:rPr>
                <w:rFonts w:ascii="Arial" w:hAnsi="Arial" w:cs="Arial"/>
                <w:color w:val="111111"/>
              </w:rPr>
              <w:t>The form and content of the auditor’s reports will change substantively</w:t>
            </w:r>
            <w:r w:rsidR="00DB21F5">
              <w:rPr>
                <w:rFonts w:ascii="Arial" w:hAnsi="Arial" w:cs="Arial"/>
                <w:color w:val="111111"/>
              </w:rPr>
              <w:t xml:space="preserve"> which will be </w:t>
            </w:r>
            <w:r w:rsidRPr="00CF01CB">
              <w:rPr>
                <w:rFonts w:ascii="Arial" w:hAnsi="Arial" w:cs="Arial"/>
                <w:color w:val="111111"/>
              </w:rPr>
              <w:t xml:space="preserve">effective for audits of financial statements for periods ending on or after December 15, 2020. </w:t>
            </w:r>
            <w:r w:rsidR="00143140" w:rsidRPr="00143140">
              <w:rPr>
                <w:rFonts w:ascii="Arial" w:hAnsi="Arial" w:cs="Arial"/>
                <w:color w:val="111111"/>
              </w:rPr>
              <w:t>Statement on Auditing Standards (SAS)</w:t>
            </w:r>
            <w:r w:rsidR="00143140" w:rsidRPr="008F6E1A">
              <w:rPr>
                <w:rFonts w:ascii="Arial" w:hAnsi="Arial" w:cs="Arial"/>
                <w:color w:val="111111"/>
              </w:rPr>
              <w:t xml:space="preserve"> </w:t>
            </w:r>
            <w:r w:rsidRPr="00CF01CB">
              <w:rPr>
                <w:rFonts w:ascii="Arial" w:hAnsi="Arial" w:cs="Arial"/>
                <w:color w:val="111111"/>
              </w:rPr>
              <w:t xml:space="preserve">No. 134, </w:t>
            </w:r>
            <w:r w:rsidRPr="00CF01CB">
              <w:rPr>
                <w:rFonts w:ascii="Arial" w:hAnsi="Arial" w:cs="Arial"/>
                <w:i/>
                <w:iCs/>
              </w:rPr>
              <w:t xml:space="preserve">Auditor Reporting and Amendments, Including Amendments Addressing Disclosures in the Audit of Financial Statements, </w:t>
            </w:r>
            <w:r w:rsidRPr="00CF01CB">
              <w:rPr>
                <w:rFonts w:ascii="Arial" w:hAnsi="Arial" w:cs="Arial"/>
              </w:rPr>
              <w:t xml:space="preserve">was issued in May 2019. SAS No. 134 </w:t>
            </w:r>
            <w:r w:rsidRPr="00CF01CB">
              <w:rPr>
                <w:rFonts w:ascii="Arial" w:hAnsi="Arial" w:cs="Arial"/>
                <w:color w:val="111111"/>
              </w:rPr>
              <w:t xml:space="preserve">includes a new AU-C section </w:t>
            </w:r>
            <w:r w:rsidR="00157235">
              <w:rPr>
                <w:rFonts w:ascii="Arial" w:hAnsi="Arial" w:cs="Arial"/>
                <w:color w:val="111111"/>
              </w:rPr>
              <w:t xml:space="preserve">701, </w:t>
            </w:r>
            <w:r w:rsidRPr="00CF01CB">
              <w:rPr>
                <w:rFonts w:ascii="Arial" w:hAnsi="Arial" w:cs="Arial"/>
                <w:i/>
                <w:iCs/>
                <w:color w:val="111111"/>
              </w:rPr>
              <w:t>Communicating Key Audit Matters in the Independent Auditor’s Report</w:t>
            </w:r>
            <w:r w:rsidRPr="00CF01CB">
              <w:rPr>
                <w:rFonts w:ascii="Arial" w:hAnsi="Arial" w:cs="Arial"/>
                <w:color w:val="111111"/>
              </w:rPr>
              <w:t>, and replaces the following AU-C sections in AICPA </w:t>
            </w:r>
            <w:r w:rsidRPr="00CF01CB">
              <w:rPr>
                <w:rFonts w:ascii="Arial" w:hAnsi="Arial" w:cs="Arial"/>
                <w:i/>
                <w:iCs/>
                <w:color w:val="111111"/>
              </w:rPr>
              <w:t>Professional Standards</w:t>
            </w:r>
            <w:r w:rsidRPr="00CF01CB">
              <w:rPr>
                <w:rFonts w:ascii="Arial" w:hAnsi="Arial" w:cs="Arial"/>
                <w:color w:val="111111"/>
              </w:rPr>
              <w:t>:</w:t>
            </w:r>
          </w:p>
          <w:p w14:paraId="28AE958A" w14:textId="77777777" w:rsidR="0077613F" w:rsidRPr="00CF01CB" w:rsidRDefault="0077613F" w:rsidP="001B6FD5">
            <w:pPr>
              <w:shd w:val="clear" w:color="auto" w:fill="FFFFFF"/>
              <w:spacing w:after="0" w:line="259" w:lineRule="auto"/>
              <w:rPr>
                <w:rFonts w:ascii="Arial" w:hAnsi="Arial" w:cs="Arial"/>
                <w:color w:val="111111"/>
              </w:rPr>
            </w:pPr>
          </w:p>
          <w:p w14:paraId="2FFC9B7D" w14:textId="77777777" w:rsidR="001D41D0" w:rsidRPr="00CF01CB" w:rsidRDefault="001D41D0" w:rsidP="001B6FD5">
            <w:pPr>
              <w:pStyle w:val="ListParagraph"/>
              <w:widowControl/>
              <w:numPr>
                <w:ilvl w:val="0"/>
                <w:numId w:val="5"/>
              </w:numPr>
              <w:autoSpaceDE/>
              <w:autoSpaceDN/>
              <w:adjustRightInd/>
              <w:spacing w:after="0" w:line="259" w:lineRule="auto"/>
              <w:ind w:left="430" w:hanging="270"/>
              <w:rPr>
                <w:rFonts w:ascii="Arial" w:hAnsi="Arial" w:cs="Arial"/>
                <w:sz w:val="22"/>
                <w:szCs w:val="22"/>
              </w:rPr>
            </w:pPr>
            <w:r w:rsidRPr="00CF01CB">
              <w:rPr>
                <w:rFonts w:ascii="Arial" w:hAnsi="Arial" w:cs="Arial"/>
                <w:sz w:val="22"/>
                <w:szCs w:val="22"/>
              </w:rPr>
              <w:t>Section 700, </w:t>
            </w:r>
            <w:r w:rsidRPr="00CF01CB">
              <w:rPr>
                <w:rFonts w:ascii="Arial" w:hAnsi="Arial" w:cs="Arial"/>
                <w:i/>
                <w:sz w:val="22"/>
                <w:szCs w:val="22"/>
              </w:rPr>
              <w:t>Forming an Opinion and Reporting on Financial Statements</w:t>
            </w:r>
          </w:p>
          <w:p w14:paraId="08E5C6F5" w14:textId="77777777" w:rsidR="001D41D0" w:rsidRPr="00CF01CB" w:rsidRDefault="001D41D0" w:rsidP="001B6FD5">
            <w:pPr>
              <w:pStyle w:val="ListParagraph"/>
              <w:widowControl/>
              <w:numPr>
                <w:ilvl w:val="0"/>
                <w:numId w:val="5"/>
              </w:numPr>
              <w:autoSpaceDE/>
              <w:autoSpaceDN/>
              <w:adjustRightInd/>
              <w:spacing w:after="0" w:line="259" w:lineRule="auto"/>
              <w:ind w:left="430" w:hanging="270"/>
              <w:rPr>
                <w:rFonts w:ascii="Arial" w:hAnsi="Arial" w:cs="Arial"/>
                <w:sz w:val="22"/>
                <w:szCs w:val="22"/>
              </w:rPr>
            </w:pPr>
            <w:r w:rsidRPr="00CF01CB">
              <w:rPr>
                <w:rFonts w:ascii="Arial" w:hAnsi="Arial" w:cs="Arial"/>
                <w:sz w:val="22"/>
                <w:szCs w:val="22"/>
              </w:rPr>
              <w:t>Section 705, </w:t>
            </w:r>
            <w:r w:rsidRPr="00CF01CB">
              <w:rPr>
                <w:rFonts w:ascii="Arial" w:hAnsi="Arial" w:cs="Arial"/>
                <w:i/>
                <w:sz w:val="22"/>
                <w:szCs w:val="22"/>
              </w:rPr>
              <w:t>Modifications to the Opinion in the Independent Auditor’s Report</w:t>
            </w:r>
          </w:p>
          <w:p w14:paraId="720E4F7C" w14:textId="77777777" w:rsidR="001D41D0" w:rsidRPr="00CF01CB" w:rsidRDefault="001D41D0" w:rsidP="001B6FD5">
            <w:pPr>
              <w:pStyle w:val="ListParagraph"/>
              <w:widowControl/>
              <w:numPr>
                <w:ilvl w:val="0"/>
                <w:numId w:val="5"/>
              </w:numPr>
              <w:autoSpaceDE/>
              <w:autoSpaceDN/>
              <w:adjustRightInd/>
              <w:spacing w:after="0" w:line="259" w:lineRule="auto"/>
              <w:ind w:left="430" w:hanging="270"/>
              <w:rPr>
                <w:rFonts w:ascii="Arial" w:hAnsi="Arial" w:cs="Arial"/>
                <w:sz w:val="22"/>
                <w:szCs w:val="22"/>
              </w:rPr>
            </w:pPr>
            <w:r w:rsidRPr="00CF01CB">
              <w:rPr>
                <w:rFonts w:ascii="Arial" w:hAnsi="Arial" w:cs="Arial"/>
                <w:sz w:val="22"/>
                <w:szCs w:val="22"/>
              </w:rPr>
              <w:t>Section 706, </w:t>
            </w:r>
            <w:r w:rsidRPr="00CF01CB">
              <w:rPr>
                <w:rFonts w:ascii="Arial" w:hAnsi="Arial" w:cs="Arial"/>
                <w:i/>
                <w:sz w:val="22"/>
                <w:szCs w:val="22"/>
              </w:rPr>
              <w:t>Emphasis-of-Matter Paragraphs and Other-Matter Paragraphs in the Independent Auditor’s Report</w:t>
            </w:r>
          </w:p>
          <w:p w14:paraId="27B17B9C" w14:textId="77777777" w:rsidR="001B6FD5" w:rsidRDefault="001B6FD5" w:rsidP="001B6FD5">
            <w:pPr>
              <w:shd w:val="clear" w:color="auto" w:fill="FFFFFF"/>
              <w:spacing w:after="0" w:line="259" w:lineRule="auto"/>
              <w:ind w:left="90"/>
              <w:rPr>
                <w:rFonts w:ascii="Arial" w:hAnsi="Arial" w:cs="Arial"/>
                <w:color w:val="111111"/>
              </w:rPr>
            </w:pPr>
          </w:p>
          <w:p w14:paraId="2A0C47E0" w14:textId="4FB476D5" w:rsidR="001D41D0" w:rsidRPr="00CF01CB" w:rsidRDefault="001D41D0" w:rsidP="001B6FD5">
            <w:pPr>
              <w:shd w:val="clear" w:color="auto" w:fill="FFFFFF"/>
              <w:spacing w:after="0" w:line="259" w:lineRule="auto"/>
              <w:ind w:left="90"/>
              <w:rPr>
                <w:rFonts w:ascii="Arial" w:hAnsi="Arial" w:cs="Arial"/>
              </w:rPr>
            </w:pPr>
            <w:r w:rsidRPr="00CF01CB">
              <w:rPr>
                <w:rFonts w:ascii="Arial" w:hAnsi="Arial" w:cs="Arial"/>
                <w:color w:val="111111"/>
              </w:rPr>
              <w:t xml:space="preserve">Changes to the auditor’s report include placing the </w:t>
            </w:r>
            <w:r w:rsidR="00BD3882">
              <w:rPr>
                <w:rFonts w:ascii="Arial" w:hAnsi="Arial" w:cs="Arial"/>
                <w:color w:val="111111"/>
              </w:rPr>
              <w:t>“</w:t>
            </w:r>
            <w:r w:rsidRPr="00CF01CB">
              <w:rPr>
                <w:rFonts w:ascii="Arial" w:hAnsi="Arial" w:cs="Arial"/>
                <w:color w:val="111111"/>
              </w:rPr>
              <w:t>Opinion</w:t>
            </w:r>
            <w:r w:rsidR="00BD3882">
              <w:rPr>
                <w:rFonts w:ascii="Arial" w:hAnsi="Arial" w:cs="Arial"/>
                <w:color w:val="111111"/>
              </w:rPr>
              <w:t>”</w:t>
            </w:r>
            <w:r w:rsidRPr="00CF01CB">
              <w:rPr>
                <w:rFonts w:ascii="Arial" w:hAnsi="Arial" w:cs="Arial"/>
                <w:color w:val="111111"/>
              </w:rPr>
              <w:t xml:space="preserve"> section first, followed by the </w:t>
            </w:r>
            <w:r w:rsidR="00BD3882">
              <w:rPr>
                <w:rFonts w:ascii="Arial" w:hAnsi="Arial" w:cs="Arial"/>
                <w:color w:val="111111"/>
              </w:rPr>
              <w:t>“</w:t>
            </w:r>
            <w:r w:rsidRPr="00CF01CB">
              <w:rPr>
                <w:rFonts w:ascii="Arial" w:hAnsi="Arial" w:cs="Arial"/>
                <w:color w:val="111111"/>
              </w:rPr>
              <w:t>Basis for Opinion</w:t>
            </w:r>
            <w:r w:rsidR="00BD3882">
              <w:rPr>
                <w:rFonts w:ascii="Arial" w:hAnsi="Arial" w:cs="Arial"/>
                <w:color w:val="111111"/>
              </w:rPr>
              <w:t>”</w:t>
            </w:r>
            <w:r w:rsidRPr="00CF01CB">
              <w:rPr>
                <w:rFonts w:ascii="Arial" w:hAnsi="Arial" w:cs="Arial"/>
                <w:color w:val="111111"/>
              </w:rPr>
              <w:t xml:space="preserve"> section, which is </w:t>
            </w:r>
            <w:r w:rsidRPr="00CF01CB">
              <w:rPr>
                <w:rFonts w:ascii="Arial" w:hAnsi="Arial" w:cs="Arial"/>
              </w:rPr>
              <w:t>required to include a statement that the auditor is required to be independent of the entity and to meet the auditor’s other ethical responsibilities</w:t>
            </w:r>
            <w:r w:rsidR="00BD3882">
              <w:rPr>
                <w:rFonts w:ascii="Arial" w:hAnsi="Arial" w:cs="Arial"/>
              </w:rPr>
              <w:t xml:space="preserve"> </w:t>
            </w:r>
            <w:r w:rsidRPr="00CF01CB">
              <w:rPr>
                <w:rFonts w:ascii="Arial" w:hAnsi="Arial" w:cs="Arial"/>
              </w:rPr>
              <w:t xml:space="preserve">in accordance with the relevant ethical requirements relating to the audit. The description of the auditor’s responsibilities has been expanded, and auditor reporting relating to going concern has been enhanced. </w:t>
            </w:r>
            <w:r w:rsidR="001B6FD5">
              <w:rPr>
                <w:rFonts w:ascii="Arial" w:hAnsi="Arial" w:cs="Arial"/>
              </w:rPr>
              <w:t>N</w:t>
            </w:r>
            <w:r w:rsidRPr="00CF01CB">
              <w:rPr>
                <w:rFonts w:ascii="Arial" w:hAnsi="Arial" w:cs="Arial"/>
              </w:rPr>
              <w:t xml:space="preserve">ew </w:t>
            </w:r>
            <w:r w:rsidR="00AA1324">
              <w:rPr>
                <w:rFonts w:ascii="Arial" w:hAnsi="Arial" w:cs="Arial"/>
              </w:rPr>
              <w:t>S</w:t>
            </w:r>
            <w:r w:rsidRPr="00CF01CB">
              <w:rPr>
                <w:rFonts w:ascii="Arial" w:hAnsi="Arial" w:cs="Arial"/>
              </w:rPr>
              <w:t xml:space="preserve">ection 701 is only applicable when the auditor is engaged to report key audit matters. </w:t>
            </w:r>
            <w:r w:rsidR="00AA1324" w:rsidRPr="00AA1324">
              <w:rPr>
                <w:rFonts w:ascii="Arial" w:hAnsi="Arial" w:cs="Arial"/>
              </w:rPr>
              <w:t>Generally accepted auditing standards</w:t>
            </w:r>
            <w:r w:rsidR="00AA1324">
              <w:rPr>
                <w:rFonts w:ascii="Arial" w:hAnsi="Arial" w:cs="Arial"/>
              </w:rPr>
              <w:t xml:space="preserve"> (</w:t>
            </w:r>
            <w:r w:rsidRPr="00CF01CB">
              <w:rPr>
                <w:rFonts w:ascii="Arial" w:hAnsi="Arial" w:cs="Arial"/>
              </w:rPr>
              <w:t>GAAS</w:t>
            </w:r>
            <w:r w:rsidR="00AA1324">
              <w:rPr>
                <w:rFonts w:ascii="Arial" w:hAnsi="Arial" w:cs="Arial"/>
              </w:rPr>
              <w:t>)</w:t>
            </w:r>
            <w:r w:rsidRPr="00CF01CB">
              <w:rPr>
                <w:rFonts w:ascii="Arial" w:hAnsi="Arial" w:cs="Arial"/>
              </w:rPr>
              <w:t xml:space="preserve"> does </w:t>
            </w:r>
            <w:r w:rsidRPr="00CF01CB">
              <w:rPr>
                <w:rFonts w:ascii="Arial" w:hAnsi="Arial" w:cs="Arial"/>
                <w:u w:val="single"/>
              </w:rPr>
              <w:t>not</w:t>
            </w:r>
            <w:r w:rsidRPr="00CF01CB">
              <w:rPr>
                <w:rFonts w:ascii="Arial" w:hAnsi="Arial" w:cs="Arial"/>
              </w:rPr>
              <w:t xml:space="preserve"> require the communication of key audit matters.</w:t>
            </w:r>
          </w:p>
          <w:p w14:paraId="4B7641A5" w14:textId="77777777" w:rsidR="001B6FD5" w:rsidRDefault="001B6FD5" w:rsidP="001B6FD5">
            <w:pPr>
              <w:shd w:val="clear" w:color="auto" w:fill="FFFFFF"/>
              <w:spacing w:after="0" w:line="259" w:lineRule="auto"/>
              <w:ind w:left="90"/>
              <w:rPr>
                <w:rFonts w:ascii="Arial" w:hAnsi="Arial" w:cs="Arial"/>
              </w:rPr>
            </w:pPr>
          </w:p>
          <w:p w14:paraId="1A8FE247" w14:textId="1D4EE882" w:rsidR="001B6FD5" w:rsidRDefault="001D41D0" w:rsidP="001B6FD5">
            <w:pPr>
              <w:shd w:val="clear" w:color="auto" w:fill="FFFFFF"/>
              <w:spacing w:after="0" w:line="259" w:lineRule="auto"/>
              <w:ind w:left="90"/>
              <w:rPr>
                <w:rFonts w:ascii="Arial" w:hAnsi="Arial" w:cs="Arial"/>
              </w:rPr>
            </w:pPr>
            <w:r w:rsidRPr="00CF01CB">
              <w:rPr>
                <w:rFonts w:ascii="Arial" w:hAnsi="Arial" w:cs="Arial"/>
              </w:rPr>
              <w:t>The ASB has also issued</w:t>
            </w:r>
            <w:r w:rsidR="00AA1324">
              <w:rPr>
                <w:rFonts w:ascii="Arial" w:hAnsi="Arial" w:cs="Arial"/>
              </w:rPr>
              <w:t xml:space="preserve"> the following</w:t>
            </w:r>
            <w:r w:rsidR="001B6FD5">
              <w:rPr>
                <w:rFonts w:ascii="Arial" w:hAnsi="Arial" w:cs="Arial"/>
              </w:rPr>
              <w:t>:</w:t>
            </w:r>
          </w:p>
          <w:p w14:paraId="773A8982" w14:textId="77777777" w:rsidR="001B6FD5" w:rsidRPr="00CF01CB" w:rsidRDefault="001B6FD5" w:rsidP="001B6FD5">
            <w:pPr>
              <w:shd w:val="clear" w:color="auto" w:fill="FFFFFF"/>
              <w:spacing w:after="0" w:line="259" w:lineRule="auto"/>
              <w:ind w:left="90"/>
              <w:rPr>
                <w:rFonts w:ascii="Arial" w:hAnsi="Arial" w:cs="Arial"/>
              </w:rPr>
            </w:pPr>
          </w:p>
          <w:p w14:paraId="6B363569" w14:textId="77777777" w:rsidR="001D41D0" w:rsidRPr="00CF01CB" w:rsidRDefault="00C579C4" w:rsidP="001B6FD5">
            <w:pPr>
              <w:widowControl/>
              <w:numPr>
                <w:ilvl w:val="0"/>
                <w:numId w:val="10"/>
              </w:numPr>
              <w:shd w:val="clear" w:color="auto" w:fill="FFFFFF"/>
              <w:autoSpaceDE/>
              <w:autoSpaceDN/>
              <w:adjustRightInd/>
              <w:spacing w:after="0" w:line="259" w:lineRule="auto"/>
              <w:ind w:left="418" w:hanging="274"/>
              <w:rPr>
                <w:rFonts w:ascii="Arial" w:hAnsi="Arial" w:cs="Arial"/>
                <w:color w:val="111111"/>
              </w:rPr>
            </w:pPr>
            <w:hyperlink r:id="rId18" w:tgtFrame="_blank" w:history="1">
              <w:r w:rsidR="001D41D0" w:rsidRPr="00CF01CB">
                <w:rPr>
                  <w:rStyle w:val="Hyperlink"/>
                  <w:rFonts w:ascii="Arial" w:hAnsi="Arial" w:cs="Arial"/>
                  <w:color w:val="0070C0"/>
                </w:rPr>
                <w:t>SAS No. 135</w:t>
              </w:r>
            </w:hyperlink>
            <w:r w:rsidR="001D41D0" w:rsidRPr="00CF01CB">
              <w:rPr>
                <w:rFonts w:ascii="Arial" w:hAnsi="Arial" w:cs="Arial"/>
                <w:color w:val="111111"/>
              </w:rPr>
              <w:t>, </w:t>
            </w:r>
            <w:r w:rsidR="001D41D0" w:rsidRPr="00CF01CB">
              <w:rPr>
                <w:rFonts w:ascii="Arial" w:hAnsi="Arial" w:cs="Arial"/>
                <w:i/>
                <w:iCs/>
                <w:color w:val="111111"/>
              </w:rPr>
              <w:t>Omnibus Statement on Auditing Standards – 2019</w:t>
            </w:r>
            <w:r w:rsidR="00AA1324">
              <w:rPr>
                <w:rFonts w:ascii="Arial" w:hAnsi="Arial" w:cs="Arial"/>
                <w:i/>
                <w:iCs/>
                <w:color w:val="111111"/>
              </w:rPr>
              <w:t>.</w:t>
            </w:r>
          </w:p>
          <w:p w14:paraId="19ABE79F" w14:textId="77777777" w:rsidR="001D41D0" w:rsidRPr="00CF01CB" w:rsidRDefault="00C579C4" w:rsidP="001B6FD5">
            <w:pPr>
              <w:widowControl/>
              <w:numPr>
                <w:ilvl w:val="0"/>
                <w:numId w:val="10"/>
              </w:numPr>
              <w:shd w:val="clear" w:color="auto" w:fill="FFFFFF"/>
              <w:autoSpaceDE/>
              <w:autoSpaceDN/>
              <w:adjustRightInd/>
              <w:spacing w:after="0" w:line="259" w:lineRule="auto"/>
              <w:ind w:left="418" w:hanging="274"/>
              <w:rPr>
                <w:rFonts w:ascii="Arial" w:hAnsi="Arial" w:cs="Arial"/>
                <w:color w:val="111111"/>
              </w:rPr>
            </w:pPr>
            <w:hyperlink r:id="rId19" w:history="1">
              <w:r w:rsidR="001D41D0" w:rsidRPr="00CF01CB">
                <w:rPr>
                  <w:rStyle w:val="Hyperlink"/>
                  <w:rFonts w:ascii="Arial" w:hAnsi="Arial" w:cs="Arial"/>
                  <w:color w:val="0070C0"/>
                </w:rPr>
                <w:t>SAS No. 136</w:t>
              </w:r>
            </w:hyperlink>
            <w:r w:rsidR="001D41D0" w:rsidRPr="00CF01CB">
              <w:rPr>
                <w:rFonts w:ascii="Arial" w:hAnsi="Arial" w:cs="Arial"/>
                <w:color w:val="111111"/>
              </w:rPr>
              <w:t>,</w:t>
            </w:r>
            <w:r w:rsidR="001D41D0" w:rsidRPr="00CF01CB">
              <w:rPr>
                <w:rFonts w:ascii="Arial" w:hAnsi="Arial" w:cs="Arial"/>
                <w:i/>
                <w:iCs/>
                <w:color w:val="111111"/>
              </w:rPr>
              <w:t> Forming an Opinion and Reporting on Financial Statements of Employee Benefit Plans Subject to ERISA</w:t>
            </w:r>
            <w:r w:rsidR="00AA1324">
              <w:rPr>
                <w:rFonts w:ascii="Arial" w:hAnsi="Arial" w:cs="Arial"/>
                <w:i/>
                <w:iCs/>
                <w:color w:val="111111"/>
              </w:rPr>
              <w:t>.</w:t>
            </w:r>
          </w:p>
          <w:p w14:paraId="72E17695" w14:textId="77777777" w:rsidR="001D41D0" w:rsidRPr="00CF01CB" w:rsidRDefault="00C579C4" w:rsidP="001B6FD5">
            <w:pPr>
              <w:widowControl/>
              <w:numPr>
                <w:ilvl w:val="0"/>
                <w:numId w:val="10"/>
              </w:numPr>
              <w:shd w:val="clear" w:color="auto" w:fill="FFFFFF"/>
              <w:autoSpaceDE/>
              <w:autoSpaceDN/>
              <w:adjustRightInd/>
              <w:spacing w:after="0" w:line="259" w:lineRule="auto"/>
              <w:ind w:left="418" w:hanging="274"/>
              <w:rPr>
                <w:rFonts w:ascii="Arial" w:hAnsi="Arial" w:cs="Arial"/>
                <w:color w:val="111111"/>
              </w:rPr>
            </w:pPr>
            <w:hyperlink r:id="rId20" w:history="1">
              <w:r w:rsidR="001D41D0" w:rsidRPr="00CF01CB">
                <w:rPr>
                  <w:rStyle w:val="Hyperlink"/>
                  <w:rFonts w:ascii="Arial" w:hAnsi="Arial" w:cs="Arial"/>
                  <w:color w:val="0070C0"/>
                </w:rPr>
                <w:t>SAS No. 137</w:t>
              </w:r>
            </w:hyperlink>
            <w:r w:rsidR="001D41D0" w:rsidRPr="00CF01CB">
              <w:rPr>
                <w:rFonts w:ascii="Arial" w:hAnsi="Arial" w:cs="Arial"/>
                <w:color w:val="111111"/>
              </w:rPr>
              <w:t>, </w:t>
            </w:r>
            <w:r w:rsidR="001D41D0" w:rsidRPr="00CF01CB">
              <w:rPr>
                <w:rFonts w:ascii="Arial" w:hAnsi="Arial" w:cs="Arial"/>
                <w:i/>
                <w:iCs/>
                <w:color w:val="111111"/>
              </w:rPr>
              <w:t>The Auditor’s Responsibilities Relating to Other Information Included in Annual Reports</w:t>
            </w:r>
            <w:r w:rsidR="00AA1324">
              <w:rPr>
                <w:rFonts w:ascii="Arial" w:hAnsi="Arial" w:cs="Arial"/>
                <w:i/>
                <w:iCs/>
                <w:color w:val="111111"/>
              </w:rPr>
              <w:t>.</w:t>
            </w:r>
          </w:p>
          <w:p w14:paraId="4E8F1855" w14:textId="77777777" w:rsidR="00AA1324" w:rsidRPr="00CF01CB" w:rsidRDefault="00AA1324" w:rsidP="001B6FD5">
            <w:pPr>
              <w:widowControl/>
              <w:shd w:val="clear" w:color="auto" w:fill="FFFFFF"/>
              <w:autoSpaceDE/>
              <w:autoSpaceDN/>
              <w:adjustRightInd/>
              <w:spacing w:after="0" w:line="259" w:lineRule="auto"/>
              <w:ind w:left="418"/>
              <w:rPr>
                <w:rFonts w:ascii="Arial" w:hAnsi="Arial" w:cs="Arial"/>
                <w:color w:val="111111"/>
              </w:rPr>
            </w:pPr>
          </w:p>
          <w:p w14:paraId="62A5456D" w14:textId="53708687" w:rsidR="001D41D0" w:rsidRPr="001D41D0" w:rsidRDefault="00AC4ABB" w:rsidP="001B6FD5">
            <w:pPr>
              <w:shd w:val="clear" w:color="auto" w:fill="FFFFFF"/>
              <w:spacing w:after="0" w:line="259" w:lineRule="auto"/>
              <w:ind w:left="90"/>
              <w:rPr>
                <w:rFonts w:eastAsiaTheme="minorHAnsi"/>
              </w:rPr>
            </w:pPr>
            <w:r w:rsidRPr="00A61B29">
              <w:rPr>
                <w:rFonts w:ascii="Arial" w:hAnsi="Arial" w:cs="Arial"/>
                <w:noProof/>
                <w:color w:val="005BBB"/>
              </w:rPr>
              <mc:AlternateContent>
                <mc:Choice Requires="wps">
                  <w:drawing>
                    <wp:anchor distT="0" distB="0" distL="114300" distR="114300" simplePos="0" relativeHeight="251677696" behindDoc="0" locked="0" layoutInCell="1" allowOverlap="1" wp14:anchorId="14F54824" wp14:editId="33F0B8D1">
                      <wp:simplePos x="0" y="0"/>
                      <wp:positionH relativeFrom="column">
                        <wp:posOffset>899160</wp:posOffset>
                      </wp:positionH>
                      <wp:positionV relativeFrom="paragraph">
                        <wp:posOffset>936625</wp:posOffset>
                      </wp:positionV>
                      <wp:extent cx="57150" cy="571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40483" id="Rectangle 20" o:spid="_x0000_s1026" style="position:absolute;margin-left:70.8pt;margin-top:73.75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" fillcolor="#005bbb" strokecolor="#005bbb" strokeweight="1pt"/>
                  </w:pict>
                </mc:Fallback>
              </mc:AlternateContent>
            </w:r>
            <w:r w:rsidR="001D41D0" w:rsidRPr="00CF01CB">
              <w:rPr>
                <w:rFonts w:ascii="Arial" w:hAnsi="Arial" w:cs="Arial"/>
              </w:rPr>
              <w:t xml:space="preserve">Early implementation of SAS No. 134 is not permitted. However, because SAS No. 134 amends various other sections, including AU-C section 210, </w:t>
            </w:r>
            <w:r w:rsidR="001D41D0" w:rsidRPr="00CF01CB">
              <w:rPr>
                <w:rFonts w:ascii="Arial" w:hAnsi="Arial" w:cs="Arial"/>
                <w:i/>
                <w:iCs/>
              </w:rPr>
              <w:t>Terms of Engagement</w:t>
            </w:r>
            <w:r w:rsidR="001D41D0" w:rsidRPr="00CF01CB">
              <w:rPr>
                <w:rFonts w:ascii="Arial" w:hAnsi="Arial" w:cs="Arial"/>
              </w:rPr>
              <w:t>, auditors are encouraged to familiarize themselves with the requirements before the start of any engagement. </w:t>
            </w:r>
          </w:p>
        </w:tc>
        <w:tc>
          <w:tcPr>
            <w:tcW w:w="1978" w:type="pct"/>
            <w:gridSpan w:val="2"/>
            <w:tcBorders>
              <w:top w:val="single" w:sz="12" w:space="0" w:color="005BBB"/>
              <w:left w:val="single" w:sz="12" w:space="0" w:color="005BBB"/>
              <w:bottom w:val="single" w:sz="12" w:space="0" w:color="005BBB"/>
              <w:right w:val="single" w:sz="12" w:space="0" w:color="005BBB"/>
            </w:tcBorders>
            <w:shd w:val="clear" w:color="auto" w:fill="F2F2F2" w:themeFill="background1" w:themeFillShade="F2"/>
            <w:tcMar>
              <w:left w:w="216" w:type="dxa"/>
              <w:right w:w="216" w:type="dxa"/>
            </w:tcMar>
          </w:tcPr>
          <w:p w14:paraId="79654A8C" w14:textId="77777777" w:rsidR="001D41D0" w:rsidRPr="00A61B29" w:rsidRDefault="00AA1324" w:rsidP="00CF01CB">
            <w:pPr>
              <w:pStyle w:val="Heading1Alt"/>
              <w:rPr>
                <w:rFonts w:ascii="Arial" w:hAnsi="Arial" w:cs="Arial"/>
                <w:caps w:val="0"/>
                <w:color w:val="005BBB"/>
                <w:sz w:val="26"/>
                <w:szCs w:val="26"/>
              </w:rPr>
            </w:pPr>
            <w:r w:rsidRPr="00A61B29">
              <w:rPr>
                <w:rFonts w:ascii="Arial" w:hAnsi="Arial" w:cs="Arial"/>
                <w:caps w:val="0"/>
                <w:color w:val="005BBB"/>
                <w:sz w:val="26"/>
                <w:szCs w:val="26"/>
              </w:rPr>
              <w:t>Ethics Update</w:t>
            </w:r>
          </w:p>
          <w:p w14:paraId="3DE9E8E7" w14:textId="6943ED22" w:rsidR="001D41D0" w:rsidRPr="0077613F" w:rsidRDefault="001D41D0" w:rsidP="00157235">
            <w:pPr>
              <w:rPr>
                <w:rFonts w:ascii="Arial" w:hAnsi="Arial" w:cs="Arial"/>
              </w:rPr>
            </w:pPr>
            <w:r w:rsidRPr="0077613F">
              <w:rPr>
                <w:rFonts w:ascii="Arial" w:hAnsi="Arial" w:cs="Arial"/>
              </w:rPr>
              <w:t xml:space="preserve">In November, the Professional Ethics Division will release a special video edition of its podcast, </w:t>
            </w:r>
            <w:r w:rsidRPr="0077613F">
              <w:rPr>
                <w:rFonts w:ascii="Arial" w:hAnsi="Arial" w:cs="Arial"/>
                <w:i/>
                <w:iCs/>
              </w:rPr>
              <w:t>Ethically Speaking</w:t>
            </w:r>
            <w:r w:rsidR="00157235" w:rsidRPr="0077613F">
              <w:rPr>
                <w:rFonts w:ascii="Arial" w:hAnsi="Arial" w:cs="Arial"/>
              </w:rPr>
              <w:t>,</w:t>
            </w:r>
            <w:r w:rsidRPr="0077613F">
              <w:rPr>
                <w:rFonts w:ascii="Arial" w:hAnsi="Arial" w:cs="Arial"/>
              </w:rPr>
              <w:t xml:space="preserve"> </w:t>
            </w:r>
            <w:r w:rsidR="00157235" w:rsidRPr="0077613F">
              <w:rPr>
                <w:rFonts w:ascii="Arial" w:hAnsi="Arial" w:cs="Arial"/>
              </w:rPr>
              <w:t>considering</w:t>
            </w:r>
            <w:r w:rsidRPr="0077613F">
              <w:rPr>
                <w:rFonts w:ascii="Arial" w:hAnsi="Arial" w:cs="Arial"/>
              </w:rPr>
              <w:t xml:space="preserve"> independence issues related clients</w:t>
            </w:r>
            <w:r w:rsidR="00692BAF">
              <w:rPr>
                <w:rFonts w:ascii="Arial" w:hAnsi="Arial" w:cs="Arial"/>
              </w:rPr>
              <w:t>’</w:t>
            </w:r>
            <w:r w:rsidR="00157235" w:rsidRPr="0077613F">
              <w:rPr>
                <w:rFonts w:ascii="Arial" w:hAnsi="Arial" w:cs="Arial"/>
              </w:rPr>
              <w:t xml:space="preserve"> </w:t>
            </w:r>
            <w:r w:rsidRPr="0077613F">
              <w:rPr>
                <w:rFonts w:ascii="Arial" w:hAnsi="Arial" w:cs="Arial"/>
              </w:rPr>
              <w:t>implement</w:t>
            </w:r>
            <w:r w:rsidR="00692BAF">
              <w:rPr>
                <w:rFonts w:ascii="Arial" w:hAnsi="Arial" w:cs="Arial"/>
              </w:rPr>
              <w:t>ation of</w:t>
            </w:r>
            <w:r w:rsidRPr="0077613F">
              <w:rPr>
                <w:rFonts w:ascii="Arial" w:hAnsi="Arial" w:cs="Arial"/>
              </w:rPr>
              <w:t xml:space="preserve"> FASB ASC 606. </w:t>
            </w:r>
          </w:p>
          <w:p w14:paraId="5198AC20" w14:textId="22A2BA74" w:rsidR="001D41D0" w:rsidRPr="0077613F" w:rsidRDefault="001D41D0" w:rsidP="00157235">
            <w:pPr>
              <w:rPr>
                <w:rFonts w:ascii="Arial" w:hAnsi="Arial" w:cs="Arial"/>
              </w:rPr>
            </w:pPr>
            <w:r w:rsidRPr="0077613F">
              <w:rPr>
                <w:rFonts w:ascii="Arial" w:hAnsi="Arial" w:cs="Arial"/>
              </w:rPr>
              <w:t xml:space="preserve">Specifics will include how to help clients implement the new guidance without crossing the independence line and applying safeguards from the General Requirements for Performing </w:t>
            </w:r>
            <w:proofErr w:type="spellStart"/>
            <w:r w:rsidRPr="0077613F">
              <w:rPr>
                <w:rFonts w:ascii="Arial" w:hAnsi="Arial" w:cs="Arial"/>
              </w:rPr>
              <w:t>Nonattest</w:t>
            </w:r>
            <w:proofErr w:type="spellEnd"/>
            <w:r w:rsidRPr="0077613F">
              <w:rPr>
                <w:rFonts w:ascii="Arial" w:hAnsi="Arial" w:cs="Arial"/>
              </w:rPr>
              <w:t xml:space="preserve"> Services</w:t>
            </w:r>
            <w:r w:rsidR="00DE5D33" w:rsidRPr="0077613F">
              <w:rPr>
                <w:rFonts w:ascii="Arial" w:hAnsi="Arial" w:cs="Arial"/>
              </w:rPr>
              <w:t xml:space="preserve"> </w:t>
            </w:r>
            <w:r w:rsidRPr="0077613F">
              <w:rPr>
                <w:rFonts w:ascii="Arial" w:hAnsi="Arial" w:cs="Arial"/>
              </w:rPr>
              <w:t xml:space="preserve">interpretation (1.295.040). The episode will also cover training that </w:t>
            </w:r>
            <w:r w:rsidR="001B6FD5" w:rsidRPr="0077613F">
              <w:rPr>
                <w:rFonts w:ascii="Arial" w:hAnsi="Arial" w:cs="Arial"/>
              </w:rPr>
              <w:t>you</w:t>
            </w:r>
            <w:r w:rsidRPr="0077613F">
              <w:rPr>
                <w:rFonts w:ascii="Arial" w:hAnsi="Arial" w:cs="Arial"/>
              </w:rPr>
              <w:t xml:space="preserve"> might provide to clients and understanding a client’s documentation of compliance with FASB ASC 606.</w:t>
            </w:r>
          </w:p>
          <w:p w14:paraId="69102908" w14:textId="7F6C88DB" w:rsidR="001D41D0" w:rsidRPr="0077613F" w:rsidRDefault="001D41D0" w:rsidP="00CF01CB">
            <w:pPr>
              <w:rPr>
                <w:rFonts w:ascii="Arial" w:hAnsi="Arial" w:cs="Arial"/>
              </w:rPr>
            </w:pPr>
            <w:r w:rsidRPr="0077613F">
              <w:rPr>
                <w:rFonts w:ascii="Arial" w:hAnsi="Arial" w:cs="Arial"/>
              </w:rPr>
              <w:t xml:space="preserve">The </w:t>
            </w:r>
            <w:hyperlink r:id="rId21" w:history="1">
              <w:r w:rsidR="00143140" w:rsidRPr="0077613F">
                <w:rPr>
                  <w:rStyle w:val="Hyperlink"/>
                  <w:rFonts w:ascii="Arial" w:hAnsi="Arial" w:cs="Arial"/>
                </w:rPr>
                <w:t>Hosting Services interpretation</w:t>
              </w:r>
            </w:hyperlink>
            <w:r w:rsidRPr="0077613F">
              <w:rPr>
                <w:rFonts w:ascii="Arial" w:hAnsi="Arial" w:cs="Arial"/>
              </w:rPr>
              <w:t xml:space="preserve"> (ET sec. 295.143) of the Independence Rule (ET sec. 1.200.001) became effective, July 1, 2019. The division has produced several</w:t>
            </w:r>
            <w:r w:rsidR="00AA1324" w:rsidRPr="0077613F">
              <w:rPr>
                <w:rFonts w:ascii="Arial" w:hAnsi="Arial" w:cs="Arial"/>
              </w:rPr>
              <w:t xml:space="preserve"> </w:t>
            </w:r>
            <w:r w:rsidRPr="0077613F">
              <w:rPr>
                <w:rFonts w:ascii="Arial" w:hAnsi="Arial" w:cs="Arial"/>
              </w:rPr>
              <w:t>aids</w:t>
            </w:r>
            <w:r w:rsidR="007B1B50" w:rsidRPr="0077613F">
              <w:rPr>
                <w:rFonts w:ascii="Arial" w:hAnsi="Arial" w:cs="Arial"/>
              </w:rPr>
              <w:t>:</w:t>
            </w:r>
          </w:p>
          <w:p w14:paraId="2C02F6D8" w14:textId="147C13CA" w:rsidR="00A45363" w:rsidRPr="0077613F" w:rsidRDefault="00C579C4" w:rsidP="00CF01CB">
            <w:pPr>
              <w:pStyle w:val="ListParagraph"/>
              <w:widowControl/>
              <w:numPr>
                <w:ilvl w:val="0"/>
                <w:numId w:val="5"/>
              </w:numPr>
              <w:autoSpaceDE/>
              <w:autoSpaceDN/>
              <w:adjustRightInd/>
              <w:spacing w:after="160" w:line="259" w:lineRule="auto"/>
              <w:ind w:left="430" w:hanging="270"/>
              <w:contextualSpacing/>
              <w:rPr>
                <w:rFonts w:ascii="Arial" w:hAnsi="Arial" w:cs="Arial"/>
                <w:sz w:val="22"/>
                <w:szCs w:val="22"/>
              </w:rPr>
            </w:pPr>
            <w:hyperlink r:id="rId22" w:history="1">
              <w:r w:rsidR="00143140" w:rsidRPr="0077613F">
                <w:rPr>
                  <w:rStyle w:val="Hyperlink"/>
                  <w:rFonts w:ascii="Arial" w:hAnsi="Arial" w:cs="Arial"/>
                  <w:sz w:val="22"/>
                  <w:szCs w:val="22"/>
                </w:rPr>
                <w:t>Se</w:t>
              </w:r>
              <w:r w:rsidR="00DE5D33" w:rsidRPr="0077613F">
                <w:rPr>
                  <w:rStyle w:val="Hyperlink"/>
                  <w:rFonts w:ascii="Arial" w:hAnsi="Arial" w:cs="Arial"/>
                  <w:sz w:val="22"/>
                  <w:szCs w:val="22"/>
                </w:rPr>
                <w:t xml:space="preserve">ven </w:t>
              </w:r>
              <w:r w:rsidR="00143140" w:rsidRPr="0077613F">
                <w:rPr>
                  <w:rStyle w:val="Hyperlink"/>
                  <w:rFonts w:ascii="Arial" w:hAnsi="Arial" w:cs="Arial"/>
                  <w:sz w:val="22"/>
                  <w:szCs w:val="22"/>
                </w:rPr>
                <w:t>FA</w:t>
              </w:r>
              <w:r w:rsidR="00DE5D33" w:rsidRPr="0077613F">
                <w:rPr>
                  <w:rStyle w:val="Hyperlink"/>
                  <w:rFonts w:ascii="Arial" w:hAnsi="Arial" w:cs="Arial"/>
                  <w:sz w:val="22"/>
                  <w:szCs w:val="22"/>
                </w:rPr>
                <w:t>Qs</w:t>
              </w:r>
            </w:hyperlink>
            <w:r w:rsidR="00143140" w:rsidRPr="0077613F">
              <w:rPr>
                <w:rStyle w:val="Hyperlink"/>
                <w:rFonts w:ascii="Arial" w:hAnsi="Arial" w:cs="Arial"/>
                <w:color w:val="auto"/>
                <w:sz w:val="22"/>
                <w:szCs w:val="22"/>
                <w:u w:val="none"/>
              </w:rPr>
              <w:t xml:space="preserve">: </w:t>
            </w:r>
            <w:r w:rsidR="001D41D0" w:rsidRPr="0077613F">
              <w:rPr>
                <w:rFonts w:ascii="Arial" w:hAnsi="Arial" w:cs="Arial"/>
                <w:sz w:val="22"/>
                <w:szCs w:val="22"/>
              </w:rPr>
              <w:t>Find questions and answers starting on page 20.</w:t>
            </w:r>
          </w:p>
          <w:p w14:paraId="08C47545" w14:textId="78895846" w:rsidR="001D41D0" w:rsidRPr="0077613F" w:rsidRDefault="00C579C4" w:rsidP="00CF01CB">
            <w:pPr>
              <w:pStyle w:val="ListParagraph"/>
              <w:widowControl/>
              <w:numPr>
                <w:ilvl w:val="0"/>
                <w:numId w:val="5"/>
              </w:numPr>
              <w:autoSpaceDE/>
              <w:autoSpaceDN/>
              <w:adjustRightInd/>
              <w:spacing w:after="160" w:line="259" w:lineRule="auto"/>
              <w:ind w:left="430" w:hanging="270"/>
              <w:contextualSpacing/>
              <w:rPr>
                <w:rFonts w:ascii="Arial" w:hAnsi="Arial" w:cs="Arial"/>
                <w:sz w:val="22"/>
                <w:szCs w:val="22"/>
              </w:rPr>
            </w:pPr>
            <w:hyperlink r:id="rId23" w:history="1">
              <w:r w:rsidR="00EA60CF" w:rsidRPr="0077613F">
                <w:rPr>
                  <w:rStyle w:val="Hyperlink"/>
                  <w:rFonts w:ascii="Arial" w:hAnsi="Arial" w:cs="Arial"/>
                  <w:sz w:val="22"/>
                  <w:szCs w:val="22"/>
                </w:rPr>
                <w:t>A</w:t>
              </w:r>
              <w:r w:rsidR="00A32355" w:rsidRPr="0077613F">
                <w:rPr>
                  <w:rStyle w:val="Hyperlink"/>
                  <w:rFonts w:ascii="Arial" w:hAnsi="Arial" w:cs="Arial"/>
                  <w:sz w:val="22"/>
                  <w:szCs w:val="22"/>
                </w:rPr>
                <w:t xml:space="preserve"> blog post</w:t>
              </w:r>
            </w:hyperlink>
            <w:r w:rsidR="00A45363" w:rsidRPr="0077613F">
              <w:rPr>
                <w:rFonts w:ascii="Arial" w:hAnsi="Arial" w:cs="Arial"/>
                <w:sz w:val="22"/>
                <w:szCs w:val="22"/>
              </w:rPr>
              <w:t>: M</w:t>
            </w:r>
            <w:r w:rsidR="001D41D0" w:rsidRPr="0077613F">
              <w:rPr>
                <w:rFonts w:ascii="Arial" w:hAnsi="Arial" w:cs="Arial"/>
                <w:sz w:val="22"/>
                <w:szCs w:val="22"/>
              </w:rPr>
              <w:t xml:space="preserve">ore questions and answers from </w:t>
            </w:r>
            <w:r w:rsidR="00A45363" w:rsidRPr="0077613F">
              <w:rPr>
                <w:rFonts w:ascii="Arial" w:hAnsi="Arial" w:cs="Arial"/>
                <w:sz w:val="22"/>
                <w:szCs w:val="22"/>
              </w:rPr>
              <w:t>the 2019 ENGAGE Conference</w:t>
            </w:r>
            <w:r w:rsidR="001D41D0" w:rsidRPr="0077613F">
              <w:rPr>
                <w:rFonts w:ascii="Arial" w:hAnsi="Arial" w:cs="Arial"/>
                <w:sz w:val="22"/>
                <w:szCs w:val="22"/>
              </w:rPr>
              <w:t>.</w:t>
            </w:r>
          </w:p>
          <w:p w14:paraId="73D37F67" w14:textId="5CDE2B4B" w:rsidR="001D41D0" w:rsidRPr="0077613F" w:rsidRDefault="00C579C4" w:rsidP="00CF01CB">
            <w:pPr>
              <w:pStyle w:val="ListParagraph"/>
              <w:widowControl/>
              <w:numPr>
                <w:ilvl w:val="0"/>
                <w:numId w:val="5"/>
              </w:numPr>
              <w:autoSpaceDE/>
              <w:autoSpaceDN/>
              <w:adjustRightInd/>
              <w:spacing w:after="160" w:line="259" w:lineRule="auto"/>
              <w:ind w:left="430" w:hanging="270"/>
              <w:contextualSpacing/>
              <w:rPr>
                <w:rFonts w:ascii="Arial" w:hAnsi="Arial" w:cs="Arial"/>
                <w:sz w:val="22"/>
                <w:szCs w:val="22"/>
              </w:rPr>
            </w:pPr>
            <w:hyperlink r:id="rId24" w:history="1">
              <w:r w:rsidR="00A45363" w:rsidRPr="0077613F">
                <w:rPr>
                  <w:rStyle w:val="Hyperlink"/>
                  <w:rFonts w:ascii="Arial" w:hAnsi="Arial" w:cs="Arial"/>
                  <w:sz w:val="22"/>
                  <w:szCs w:val="22"/>
                </w:rPr>
                <w:t xml:space="preserve">Ep. 3 of </w:t>
              </w:r>
              <w:r w:rsidR="00A45363" w:rsidRPr="0077613F">
                <w:rPr>
                  <w:rStyle w:val="Hyperlink"/>
                  <w:rFonts w:ascii="Arial" w:hAnsi="Arial" w:cs="Arial"/>
                  <w:i/>
                  <w:iCs/>
                  <w:sz w:val="22"/>
                  <w:szCs w:val="22"/>
                </w:rPr>
                <w:t>Ethically Speaking</w:t>
              </w:r>
            </w:hyperlink>
            <w:r w:rsidR="001D41D0" w:rsidRPr="0077613F">
              <w:rPr>
                <w:rFonts w:ascii="Arial" w:hAnsi="Arial" w:cs="Arial"/>
                <w:sz w:val="22"/>
                <w:szCs w:val="22"/>
              </w:rPr>
              <w:t xml:space="preserve">: Hosting </w:t>
            </w:r>
            <w:r w:rsidR="00A45363" w:rsidRPr="0077613F">
              <w:rPr>
                <w:rFonts w:ascii="Arial" w:hAnsi="Arial" w:cs="Arial"/>
                <w:sz w:val="22"/>
                <w:szCs w:val="22"/>
              </w:rPr>
              <w:t>S</w:t>
            </w:r>
            <w:r w:rsidR="001D41D0" w:rsidRPr="0077613F">
              <w:rPr>
                <w:rFonts w:ascii="Arial" w:hAnsi="Arial" w:cs="Arial"/>
                <w:sz w:val="22"/>
                <w:szCs w:val="22"/>
              </w:rPr>
              <w:t xml:space="preserve">ervices ― What </w:t>
            </w:r>
            <w:r w:rsidR="00A45363" w:rsidRPr="0077613F">
              <w:rPr>
                <w:rFonts w:ascii="Arial" w:hAnsi="Arial" w:cs="Arial"/>
                <w:sz w:val="22"/>
                <w:szCs w:val="22"/>
              </w:rPr>
              <w:t>Y</w:t>
            </w:r>
            <w:r w:rsidR="001D41D0" w:rsidRPr="0077613F">
              <w:rPr>
                <w:rFonts w:ascii="Arial" w:hAnsi="Arial" w:cs="Arial"/>
                <w:sz w:val="22"/>
                <w:szCs w:val="22"/>
              </w:rPr>
              <w:t xml:space="preserve">ou </w:t>
            </w:r>
            <w:r w:rsidR="00A45363" w:rsidRPr="0077613F">
              <w:rPr>
                <w:rFonts w:ascii="Arial" w:hAnsi="Arial" w:cs="Arial"/>
                <w:sz w:val="22"/>
                <w:szCs w:val="22"/>
              </w:rPr>
              <w:t>N</w:t>
            </w:r>
            <w:r w:rsidR="001D41D0" w:rsidRPr="0077613F">
              <w:rPr>
                <w:rFonts w:ascii="Arial" w:hAnsi="Arial" w:cs="Arial"/>
                <w:sz w:val="22"/>
                <w:szCs w:val="22"/>
              </w:rPr>
              <w:t xml:space="preserve">eed to </w:t>
            </w:r>
            <w:r w:rsidR="00A45363" w:rsidRPr="0077613F">
              <w:rPr>
                <w:rFonts w:ascii="Arial" w:hAnsi="Arial" w:cs="Arial"/>
                <w:sz w:val="22"/>
                <w:szCs w:val="22"/>
              </w:rPr>
              <w:t>K</w:t>
            </w:r>
            <w:r w:rsidR="001D41D0" w:rsidRPr="0077613F">
              <w:rPr>
                <w:rFonts w:ascii="Arial" w:hAnsi="Arial" w:cs="Arial"/>
                <w:sz w:val="22"/>
                <w:szCs w:val="22"/>
              </w:rPr>
              <w:t xml:space="preserve">now </w:t>
            </w:r>
            <w:r w:rsidR="00A45363" w:rsidRPr="0077613F">
              <w:rPr>
                <w:rFonts w:ascii="Arial" w:hAnsi="Arial" w:cs="Arial"/>
                <w:sz w:val="22"/>
                <w:szCs w:val="22"/>
              </w:rPr>
              <w:t>N</w:t>
            </w:r>
            <w:r w:rsidR="001D41D0" w:rsidRPr="0077613F">
              <w:rPr>
                <w:rFonts w:ascii="Arial" w:hAnsi="Arial" w:cs="Arial"/>
                <w:sz w:val="22"/>
                <w:szCs w:val="22"/>
              </w:rPr>
              <w:t>ow</w:t>
            </w:r>
            <w:r w:rsidR="00AA1324" w:rsidRPr="0077613F">
              <w:rPr>
                <w:rFonts w:ascii="Arial" w:hAnsi="Arial" w:cs="Arial"/>
                <w:sz w:val="22"/>
                <w:szCs w:val="22"/>
              </w:rPr>
              <w:t>.</w:t>
            </w:r>
          </w:p>
          <w:p w14:paraId="13CB7A1F" w14:textId="67D63D08" w:rsidR="001D41D0" w:rsidRPr="0077613F" w:rsidRDefault="00C579C4" w:rsidP="00CF01CB">
            <w:pPr>
              <w:pStyle w:val="ListParagraph"/>
              <w:widowControl/>
              <w:numPr>
                <w:ilvl w:val="0"/>
                <w:numId w:val="5"/>
              </w:numPr>
              <w:autoSpaceDE/>
              <w:autoSpaceDN/>
              <w:adjustRightInd/>
              <w:spacing w:after="160" w:line="259" w:lineRule="auto"/>
              <w:ind w:left="430" w:hanging="270"/>
              <w:contextualSpacing/>
              <w:rPr>
                <w:rFonts w:ascii="Arial" w:hAnsi="Arial" w:cs="Arial"/>
                <w:sz w:val="22"/>
                <w:szCs w:val="22"/>
              </w:rPr>
            </w:pPr>
            <w:hyperlink r:id="rId25" w:history="1">
              <w:r w:rsidR="00A45363" w:rsidRPr="0077613F">
                <w:rPr>
                  <w:rStyle w:val="Hyperlink"/>
                  <w:rFonts w:ascii="Arial" w:hAnsi="Arial" w:cs="Arial"/>
                  <w:sz w:val="22"/>
                  <w:szCs w:val="22"/>
                </w:rPr>
                <w:t xml:space="preserve">Ep. 4 of </w:t>
              </w:r>
              <w:r w:rsidR="00A45363" w:rsidRPr="0077613F">
                <w:rPr>
                  <w:rStyle w:val="Hyperlink"/>
                  <w:rFonts w:ascii="Arial" w:hAnsi="Arial" w:cs="Arial"/>
                  <w:i/>
                  <w:iCs/>
                  <w:sz w:val="22"/>
                  <w:szCs w:val="22"/>
                </w:rPr>
                <w:t>Ethically</w:t>
              </w:r>
              <w:r w:rsidR="00A45363" w:rsidRPr="0077613F">
                <w:rPr>
                  <w:rStyle w:val="Hyperlink"/>
                  <w:rFonts w:ascii="Arial" w:hAnsi="Arial" w:cs="Arial"/>
                  <w:sz w:val="22"/>
                  <w:szCs w:val="22"/>
                </w:rPr>
                <w:t xml:space="preserve"> </w:t>
              </w:r>
              <w:r w:rsidR="00A45363" w:rsidRPr="0077613F">
                <w:rPr>
                  <w:rStyle w:val="Hyperlink"/>
                  <w:rFonts w:ascii="Arial" w:hAnsi="Arial" w:cs="Arial"/>
                  <w:i/>
                  <w:iCs/>
                  <w:sz w:val="22"/>
                  <w:szCs w:val="22"/>
                </w:rPr>
                <w:t>Speaking</w:t>
              </w:r>
              <w:r w:rsidR="00A45363" w:rsidRPr="0077613F">
                <w:rPr>
                  <w:rStyle w:val="Hyperlink"/>
                  <w:rFonts w:ascii="Arial" w:hAnsi="Arial" w:cs="Arial"/>
                  <w:sz w:val="22"/>
                  <w:szCs w:val="22"/>
                </w:rPr>
                <w:t>:</w:t>
              </w:r>
            </w:hyperlink>
            <w:r w:rsidR="001D41D0" w:rsidRPr="0077613F">
              <w:rPr>
                <w:rFonts w:ascii="Arial" w:hAnsi="Arial" w:cs="Arial"/>
                <w:sz w:val="22"/>
                <w:szCs w:val="22"/>
              </w:rPr>
              <w:t xml:space="preserve"> Hosting </w:t>
            </w:r>
            <w:r w:rsidR="00FA5DDD" w:rsidRPr="0077613F">
              <w:rPr>
                <w:rFonts w:ascii="Arial" w:hAnsi="Arial" w:cs="Arial"/>
                <w:sz w:val="22"/>
                <w:szCs w:val="22"/>
              </w:rPr>
              <w:t>S</w:t>
            </w:r>
            <w:r w:rsidR="001D41D0" w:rsidRPr="0077613F">
              <w:rPr>
                <w:rFonts w:ascii="Arial" w:hAnsi="Arial" w:cs="Arial"/>
                <w:sz w:val="22"/>
                <w:szCs w:val="22"/>
              </w:rPr>
              <w:t xml:space="preserve">ervices ― More of </w:t>
            </w:r>
            <w:r w:rsidR="00FA5DDD" w:rsidRPr="0077613F">
              <w:rPr>
                <w:rFonts w:ascii="Arial" w:hAnsi="Arial" w:cs="Arial"/>
                <w:sz w:val="22"/>
                <w:szCs w:val="22"/>
              </w:rPr>
              <w:t>Y</w:t>
            </w:r>
            <w:r w:rsidR="001D41D0" w:rsidRPr="0077613F">
              <w:rPr>
                <w:rFonts w:ascii="Arial" w:hAnsi="Arial" w:cs="Arial"/>
                <w:sz w:val="22"/>
                <w:szCs w:val="22"/>
              </w:rPr>
              <w:t xml:space="preserve">our </w:t>
            </w:r>
            <w:r w:rsidR="00FA5DDD" w:rsidRPr="0077613F">
              <w:rPr>
                <w:rFonts w:ascii="Arial" w:hAnsi="Arial" w:cs="Arial"/>
                <w:sz w:val="22"/>
                <w:szCs w:val="22"/>
              </w:rPr>
              <w:t>Q</w:t>
            </w:r>
            <w:r w:rsidR="001D41D0" w:rsidRPr="0077613F">
              <w:rPr>
                <w:rFonts w:ascii="Arial" w:hAnsi="Arial" w:cs="Arial"/>
                <w:sz w:val="22"/>
                <w:szCs w:val="22"/>
              </w:rPr>
              <w:t xml:space="preserve">uestions </w:t>
            </w:r>
            <w:r w:rsidR="00FA5DDD" w:rsidRPr="0077613F">
              <w:rPr>
                <w:rFonts w:ascii="Arial" w:hAnsi="Arial" w:cs="Arial"/>
                <w:sz w:val="22"/>
                <w:szCs w:val="22"/>
              </w:rPr>
              <w:t>A</w:t>
            </w:r>
            <w:r w:rsidR="001D41D0" w:rsidRPr="0077613F">
              <w:rPr>
                <w:rFonts w:ascii="Arial" w:hAnsi="Arial" w:cs="Arial"/>
                <w:sz w:val="22"/>
                <w:szCs w:val="22"/>
              </w:rPr>
              <w:t>nswered</w:t>
            </w:r>
            <w:r w:rsidR="00AA1324" w:rsidRPr="0077613F">
              <w:rPr>
                <w:rFonts w:ascii="Arial" w:hAnsi="Arial" w:cs="Arial"/>
                <w:sz w:val="22"/>
                <w:szCs w:val="22"/>
              </w:rPr>
              <w:t>.</w:t>
            </w:r>
          </w:p>
          <w:p w14:paraId="0018B9BA" w14:textId="2E857DCE" w:rsidR="001D41D0" w:rsidRPr="0077613F" w:rsidRDefault="001D41D0" w:rsidP="00CF01CB">
            <w:pPr>
              <w:rPr>
                <w:rFonts w:ascii="Arial" w:hAnsi="Arial" w:cs="Arial"/>
              </w:rPr>
            </w:pPr>
            <w:r w:rsidRPr="0077613F">
              <w:rPr>
                <w:rFonts w:ascii="Arial" w:hAnsi="Arial" w:cs="Arial"/>
              </w:rPr>
              <w:t xml:space="preserve">The </w:t>
            </w:r>
            <w:hyperlink r:id="rId26" w:history="1">
              <w:r w:rsidR="00A45363" w:rsidRPr="0077613F">
                <w:rPr>
                  <w:rStyle w:val="Hyperlink"/>
                  <w:rFonts w:ascii="Arial" w:hAnsi="Arial" w:cs="Arial"/>
                </w:rPr>
                <w:t>State and Local Government Client Affiliates interpretation</w:t>
              </w:r>
            </w:hyperlink>
            <w:r w:rsidRPr="0077613F">
              <w:rPr>
                <w:rFonts w:ascii="Arial" w:hAnsi="Arial" w:cs="Arial"/>
              </w:rPr>
              <w:t xml:space="preserve"> will be effective for years beginning after December 15, 2020. Stay tuned for </w:t>
            </w:r>
            <w:r w:rsidR="00AA1324" w:rsidRPr="0077613F">
              <w:rPr>
                <w:rFonts w:ascii="Arial" w:hAnsi="Arial" w:cs="Arial"/>
              </w:rPr>
              <w:t xml:space="preserve">the </w:t>
            </w:r>
            <w:r w:rsidRPr="0077613F">
              <w:rPr>
                <w:rFonts w:ascii="Arial" w:hAnsi="Arial" w:cs="Arial"/>
              </w:rPr>
              <w:t>practice aids:</w:t>
            </w:r>
          </w:p>
          <w:p w14:paraId="4F99CC77" w14:textId="0DBA61F3" w:rsidR="00AA1324" w:rsidRPr="0077613F" w:rsidRDefault="001D41D0" w:rsidP="00CF01CB">
            <w:pPr>
              <w:pStyle w:val="ListParagraph"/>
              <w:widowControl/>
              <w:numPr>
                <w:ilvl w:val="0"/>
                <w:numId w:val="6"/>
              </w:numPr>
              <w:autoSpaceDE/>
              <w:autoSpaceDN/>
              <w:adjustRightInd/>
              <w:spacing w:after="160" w:line="259" w:lineRule="auto"/>
              <w:ind w:left="430" w:hanging="270"/>
              <w:contextualSpacing/>
              <w:rPr>
                <w:rFonts w:ascii="Arial" w:hAnsi="Arial" w:cs="Arial"/>
                <w:sz w:val="22"/>
                <w:szCs w:val="22"/>
              </w:rPr>
            </w:pPr>
            <w:r w:rsidRPr="0077613F">
              <w:rPr>
                <w:rFonts w:ascii="Arial" w:hAnsi="Arial" w:cs="Arial"/>
                <w:sz w:val="22"/>
                <w:szCs w:val="22"/>
              </w:rPr>
              <w:t xml:space="preserve">Interactive tools to help </w:t>
            </w:r>
            <w:r w:rsidR="001B6FD5" w:rsidRPr="0077613F">
              <w:rPr>
                <w:rFonts w:ascii="Arial" w:hAnsi="Arial" w:cs="Arial"/>
                <w:sz w:val="22"/>
                <w:szCs w:val="22"/>
              </w:rPr>
              <w:t>you</w:t>
            </w:r>
            <w:r w:rsidRPr="0077613F">
              <w:rPr>
                <w:rFonts w:ascii="Arial" w:hAnsi="Arial" w:cs="Arial"/>
                <w:sz w:val="22"/>
                <w:szCs w:val="22"/>
              </w:rPr>
              <w:t xml:space="preserve"> determine which entities are and aren’t affiliates</w:t>
            </w:r>
            <w:r w:rsidR="00AA1324" w:rsidRPr="0077613F">
              <w:rPr>
                <w:rFonts w:ascii="Arial" w:hAnsi="Arial" w:cs="Arial"/>
                <w:sz w:val="22"/>
                <w:szCs w:val="22"/>
              </w:rPr>
              <w:t>.</w:t>
            </w:r>
          </w:p>
          <w:p w14:paraId="5A45DE67" w14:textId="77777777" w:rsidR="001D41D0" w:rsidRPr="0077613F" w:rsidRDefault="001D41D0" w:rsidP="00CF01CB">
            <w:pPr>
              <w:pStyle w:val="ListParagraph"/>
              <w:widowControl/>
              <w:numPr>
                <w:ilvl w:val="0"/>
                <w:numId w:val="6"/>
              </w:numPr>
              <w:autoSpaceDE/>
              <w:autoSpaceDN/>
              <w:adjustRightInd/>
              <w:spacing w:after="160" w:line="259" w:lineRule="auto"/>
              <w:ind w:left="430" w:hanging="270"/>
              <w:contextualSpacing/>
              <w:rPr>
                <w:rFonts w:ascii="Arial" w:hAnsi="Arial" w:cs="Arial"/>
                <w:sz w:val="22"/>
                <w:szCs w:val="22"/>
              </w:rPr>
            </w:pPr>
            <w:r w:rsidRPr="0077613F">
              <w:rPr>
                <w:rFonts w:ascii="Arial" w:hAnsi="Arial" w:cs="Arial"/>
                <w:sz w:val="22"/>
                <w:szCs w:val="22"/>
              </w:rPr>
              <w:t>A conceptual framework toolkit for independence</w:t>
            </w:r>
            <w:r w:rsidR="00AA1324" w:rsidRPr="0077613F">
              <w:rPr>
                <w:rFonts w:ascii="Arial" w:hAnsi="Arial" w:cs="Arial"/>
                <w:sz w:val="22"/>
                <w:szCs w:val="22"/>
              </w:rPr>
              <w:t>.</w:t>
            </w:r>
          </w:p>
          <w:p w14:paraId="4571EF7B" w14:textId="1386A260" w:rsidR="001D41D0" w:rsidRPr="0077613F" w:rsidRDefault="00AC4ABB" w:rsidP="00CF01CB">
            <w:pPr>
              <w:rPr>
                <w:rFonts w:ascii="Arial" w:hAnsi="Arial" w:cs="Arial"/>
              </w:rPr>
            </w:pPr>
            <w:r w:rsidRPr="00A61B29">
              <w:rPr>
                <w:rFonts w:ascii="Arial" w:hAnsi="Arial" w:cs="Arial"/>
                <w:noProof/>
                <w:color w:val="005BBB"/>
              </w:rPr>
              <mc:AlternateContent>
                <mc:Choice Requires="wps">
                  <w:drawing>
                    <wp:anchor distT="0" distB="0" distL="114300" distR="114300" simplePos="0" relativeHeight="251679744" behindDoc="0" locked="0" layoutInCell="1" allowOverlap="1" wp14:anchorId="1154FA94" wp14:editId="7691B8AB">
                      <wp:simplePos x="0" y="0"/>
                      <wp:positionH relativeFrom="column">
                        <wp:posOffset>541655</wp:posOffset>
                      </wp:positionH>
                      <wp:positionV relativeFrom="paragraph">
                        <wp:posOffset>387350</wp:posOffset>
                      </wp:positionV>
                      <wp:extent cx="57150" cy="571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4C5E1" id="Rectangle 21" o:spid="_x0000_s1026" style="position:absolute;margin-left:42.65pt;margin-top:30.5pt;width: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" fillcolor="#005bbb" strokecolor="#005bbb" strokeweight="1pt"/>
                  </w:pict>
                </mc:Fallback>
              </mc:AlternateContent>
            </w:r>
            <w:r w:rsidR="001D41D0" w:rsidRPr="0077613F">
              <w:rPr>
                <w:rFonts w:ascii="Arial" w:hAnsi="Arial" w:cs="Arial"/>
              </w:rPr>
              <w:t xml:space="preserve">The </w:t>
            </w:r>
            <w:hyperlink r:id="rId27" w:history="1">
              <w:r w:rsidR="00FA5DDD" w:rsidRPr="0077613F">
                <w:rPr>
                  <w:rStyle w:val="Hyperlink"/>
                  <w:rFonts w:ascii="Arial" w:hAnsi="Arial" w:cs="Arial"/>
                </w:rPr>
                <w:t>Information System Services interpretation</w:t>
              </w:r>
            </w:hyperlink>
            <w:r w:rsidR="001D41D0" w:rsidRPr="0077613F">
              <w:rPr>
                <w:rFonts w:ascii="Arial" w:hAnsi="Arial" w:cs="Arial"/>
              </w:rPr>
              <w:t xml:space="preserve"> will be effective January 1, 2121.</w:t>
            </w:r>
            <w:r w:rsidR="009914E3" w:rsidRPr="0077613F">
              <w:rPr>
                <w:rFonts w:ascii="Arial" w:hAnsi="Arial" w:cs="Arial"/>
              </w:rPr>
              <w:t xml:space="preserve"> </w:t>
            </w:r>
          </w:p>
        </w:tc>
      </w:tr>
    </w:tbl>
    <w:tbl>
      <w:tblPr>
        <w:tblpPr w:leftFromText="180" w:rightFromText="180" w:vertAnchor="text" w:horzAnchor="margin" w:tblpXSpec="center" w:tblpY="-118"/>
        <w:tblOverlap w:val="never"/>
        <w:tblW w:w="5324" w:type="pct"/>
        <w:tblBorders>
          <w:top w:val="single" w:sz="12" w:space="0" w:color="005BBB"/>
          <w:left w:val="single" w:sz="12" w:space="0" w:color="005BBB"/>
          <w:bottom w:val="single" w:sz="12" w:space="0" w:color="005BBB"/>
          <w:right w:val="single" w:sz="12" w:space="0" w:color="005BBB"/>
        </w:tblBorders>
        <w:tblCellMar>
          <w:left w:w="115" w:type="dxa"/>
          <w:right w:w="115" w:type="dxa"/>
        </w:tblCellMar>
        <w:tblLook w:val="0600" w:firstRow="0" w:lastRow="0" w:firstColumn="0" w:lastColumn="0" w:noHBand="1" w:noVBand="1"/>
        <w:tblDescription w:val="Layout table page 1"/>
      </w:tblPr>
      <w:tblGrid>
        <w:gridCol w:w="11468"/>
      </w:tblGrid>
      <w:tr w:rsidR="00CA2C14" w:rsidRPr="00616EA8" w14:paraId="099D6880" w14:textId="77777777" w:rsidTr="004333B8">
        <w:trPr>
          <w:trHeight w:val="576"/>
        </w:trPr>
        <w:tc>
          <w:tcPr>
            <w:tcW w:w="5000" w:type="pct"/>
            <w:shd w:val="clear" w:color="auto" w:fill="005BBB"/>
            <w:tcMar>
              <w:right w:w="216" w:type="dxa"/>
            </w:tcMar>
            <w:vAlign w:val="center"/>
          </w:tcPr>
          <w:p w14:paraId="10FE5F5F" w14:textId="72DCA0A3" w:rsidR="00CA2C14" w:rsidRPr="001B6FD5" w:rsidRDefault="00CA2C14" w:rsidP="00060C17">
            <w:pPr>
              <w:pStyle w:val="Heading1"/>
              <w:tabs>
                <w:tab w:val="left" w:pos="601"/>
              </w:tabs>
              <w:spacing w:before="0" w:after="0"/>
              <w:rPr>
                <w:rFonts w:ascii="Arial" w:hAnsi="Arial" w:cs="Arial"/>
                <w:caps w:val="0"/>
                <w:color w:val="FFFFFF" w:themeColor="background1"/>
                <w:sz w:val="32"/>
                <w:szCs w:val="32"/>
              </w:rPr>
            </w:pPr>
            <w:r w:rsidRPr="001B6FD5">
              <w:rPr>
                <w:rFonts w:asciiTheme="minorHAnsi" w:hAnsiTheme="minorHAnsi" w:cs="Georgia"/>
                <w:b w:val="0"/>
                <w:bCs w:val="0"/>
                <w:caps w:val="0"/>
                <w:color w:val="auto"/>
                <w:sz w:val="32"/>
                <w:szCs w:val="32"/>
              </w:rPr>
              <w:lastRenderedPageBreak/>
              <w:br w:type="page"/>
            </w:r>
            <w:r w:rsidRPr="001B6FD5">
              <w:rPr>
                <w:sz w:val="32"/>
                <w:szCs w:val="32"/>
              </w:rPr>
              <w:br w:type="page"/>
            </w:r>
            <w:r w:rsidRPr="001B6FD5">
              <w:rPr>
                <w:rFonts w:ascii="Calibri Light" w:hAnsi="Calibri Light" w:cs="Georgia"/>
                <w:bCs w:val="0"/>
                <w:color w:val="FFFFFF" w:themeColor="background1"/>
                <w:sz w:val="32"/>
                <w:szCs w:val="32"/>
              </w:rPr>
              <w:br w:type="page"/>
            </w:r>
            <w:r w:rsidRPr="001B6FD5">
              <w:rPr>
                <w:rFonts w:ascii="Arial" w:hAnsi="Arial" w:cs="Arial"/>
                <w:caps w:val="0"/>
                <w:color w:val="FFFFFF" w:themeColor="background1"/>
                <w:sz w:val="32"/>
                <w:szCs w:val="32"/>
              </w:rPr>
              <w:t xml:space="preserve">Resources from the </w:t>
            </w:r>
            <w:r w:rsidR="00ED53BC">
              <w:rPr>
                <w:rFonts w:ascii="Arial" w:hAnsi="Arial" w:cs="Arial"/>
                <w:caps w:val="0"/>
                <w:color w:val="FFFFFF" w:themeColor="background1"/>
                <w:sz w:val="32"/>
                <w:szCs w:val="32"/>
              </w:rPr>
              <w:t xml:space="preserve">AICPA’s </w:t>
            </w:r>
            <w:r w:rsidRPr="001B6FD5">
              <w:rPr>
                <w:rFonts w:ascii="Arial" w:hAnsi="Arial" w:cs="Arial"/>
                <w:caps w:val="0"/>
                <w:color w:val="FFFFFF" w:themeColor="background1"/>
                <w:sz w:val="32"/>
                <w:szCs w:val="32"/>
              </w:rPr>
              <w:t xml:space="preserve">Enhancing Audit Quality </w:t>
            </w:r>
            <w:r w:rsidR="00ED53BC">
              <w:rPr>
                <w:rFonts w:ascii="Arial" w:hAnsi="Arial" w:cs="Arial"/>
                <w:caps w:val="0"/>
                <w:color w:val="FFFFFF" w:themeColor="background1"/>
                <w:sz w:val="32"/>
                <w:szCs w:val="32"/>
              </w:rPr>
              <w:t>(</w:t>
            </w:r>
            <w:r w:rsidR="00ED53BC" w:rsidRPr="00ED53BC">
              <w:rPr>
                <w:rFonts w:ascii="Arial" w:hAnsi="Arial" w:cs="Arial"/>
                <w:color w:val="FFFFFF" w:themeColor="background1"/>
                <w:sz w:val="32"/>
                <w:szCs w:val="32"/>
              </w:rPr>
              <w:t>EAQ)</w:t>
            </w:r>
            <w:r w:rsidR="00ED53BC">
              <w:rPr>
                <w:color w:val="FFFFFF" w:themeColor="background1"/>
                <w:sz w:val="32"/>
                <w:szCs w:val="32"/>
              </w:rPr>
              <w:t xml:space="preserve"> </w:t>
            </w:r>
            <w:r w:rsidRPr="001B6FD5">
              <w:rPr>
                <w:rFonts w:ascii="Arial" w:hAnsi="Arial" w:cs="Arial"/>
                <w:caps w:val="0"/>
                <w:color w:val="FFFFFF" w:themeColor="background1"/>
                <w:sz w:val="32"/>
                <w:szCs w:val="32"/>
              </w:rPr>
              <w:t>Initiative</w:t>
            </w:r>
          </w:p>
        </w:tc>
      </w:tr>
      <w:tr w:rsidR="00CA2C14" w:rsidRPr="00616EA8" w14:paraId="2D26F78C" w14:textId="77777777" w:rsidTr="004333B8">
        <w:trPr>
          <w:trHeight w:val="40"/>
        </w:trPr>
        <w:tc>
          <w:tcPr>
            <w:tcW w:w="5000" w:type="pct"/>
            <w:shd w:val="clear" w:color="auto" w:fill="FFFFFF" w:themeFill="background1"/>
            <w:tcMar>
              <w:right w:w="216" w:type="dxa"/>
            </w:tcMar>
          </w:tcPr>
          <w:p w14:paraId="76BEB7AF" w14:textId="77777777" w:rsidR="00CA2C14" w:rsidRPr="00102AFE" w:rsidRDefault="00CA2C14" w:rsidP="00CA2C14">
            <w:pPr>
              <w:pStyle w:val="Heading1Alt"/>
              <w:spacing w:after="0"/>
              <w:rPr>
                <w:rFonts w:ascii="Arial" w:hAnsi="Arial" w:cs="Arial"/>
                <w:bCs/>
                <w:caps w:val="0"/>
                <w:color w:val="72246C"/>
                <w:sz w:val="28"/>
              </w:rPr>
            </w:pPr>
          </w:p>
          <w:p w14:paraId="0D99B5D4" w14:textId="75640515" w:rsidR="00CA2C14" w:rsidRPr="00102AFE" w:rsidRDefault="00CA2C14" w:rsidP="00CA2C14">
            <w:pPr>
              <w:rPr>
                <w:rFonts w:ascii="Arial" w:hAnsi="Arial" w:cs="Arial"/>
                <w:b/>
              </w:rPr>
            </w:pPr>
            <w:r w:rsidRPr="00102AFE">
              <w:rPr>
                <w:rFonts w:ascii="Arial" w:hAnsi="Arial" w:cs="Arial"/>
              </w:rPr>
              <w:t xml:space="preserve">Through the </w:t>
            </w:r>
            <w:hyperlink r:id="rId28" w:history="1">
              <w:r w:rsidRPr="00102AFE">
                <w:rPr>
                  <w:rStyle w:val="Hyperlink"/>
                  <w:rFonts w:ascii="Arial" w:hAnsi="Arial" w:cs="Arial"/>
                </w:rPr>
                <w:t>EAQ</w:t>
              </w:r>
            </w:hyperlink>
            <w:r w:rsidRPr="00102AFE">
              <w:rPr>
                <w:rFonts w:ascii="Arial" w:hAnsi="Arial" w:cs="Arial"/>
              </w:rPr>
              <w:t xml:space="preserve">, the AICPA </w:t>
            </w:r>
            <w:r w:rsidR="00903BD8">
              <w:rPr>
                <w:rFonts w:ascii="Arial" w:hAnsi="Arial" w:cs="Arial"/>
              </w:rPr>
              <w:t>provides</w:t>
            </w:r>
            <w:r w:rsidRPr="00102AFE">
              <w:rPr>
                <w:rFonts w:ascii="Arial" w:hAnsi="Arial" w:cs="Arial"/>
              </w:rPr>
              <w:t xml:space="preserve"> resources and education to help you avoid the most common audit quality issues. Check out </w:t>
            </w:r>
            <w:r w:rsidR="00060C17">
              <w:rPr>
                <w:rFonts w:ascii="Arial" w:hAnsi="Arial" w:cs="Arial"/>
              </w:rPr>
              <w:t>their</w:t>
            </w:r>
            <w:r w:rsidRPr="00102AFE">
              <w:rPr>
                <w:rFonts w:ascii="Arial" w:hAnsi="Arial" w:cs="Arial"/>
              </w:rPr>
              <w:t xml:space="preserve"> latest resources:</w:t>
            </w:r>
          </w:p>
          <w:p w14:paraId="5CE1463A" w14:textId="77777777" w:rsidR="00CA2C14" w:rsidRPr="00E43C61" w:rsidRDefault="00CA2C14" w:rsidP="00CA2C14">
            <w:pPr>
              <w:rPr>
                <w:rFonts w:ascii="Arial" w:hAnsi="Arial" w:cs="Arial"/>
                <w:color w:val="005BBB"/>
                <w:sz w:val="26"/>
                <w:szCs w:val="26"/>
              </w:rPr>
            </w:pPr>
            <w:r w:rsidRPr="00E43C61">
              <w:rPr>
                <w:rFonts w:ascii="Arial" w:hAnsi="Arial" w:cs="Arial"/>
                <w:b/>
                <w:bCs/>
                <w:iCs/>
                <w:color w:val="005BBB"/>
                <w:sz w:val="26"/>
                <w:szCs w:val="26"/>
              </w:rPr>
              <w:t>Risk Assessment and Response</w:t>
            </w:r>
            <w:r w:rsidRPr="00E43C61">
              <w:rPr>
                <w:rFonts w:ascii="Arial" w:hAnsi="Arial" w:cs="Arial"/>
                <w:color w:val="005BBB"/>
                <w:sz w:val="26"/>
                <w:szCs w:val="26"/>
              </w:rPr>
              <w:t xml:space="preserve"> </w:t>
            </w:r>
          </w:p>
          <w:p w14:paraId="49501276" w14:textId="77777777" w:rsidR="00CA2C14" w:rsidRPr="00102AFE" w:rsidRDefault="00CA2C14" w:rsidP="00CA2C14">
            <w:pPr>
              <w:rPr>
                <w:rFonts w:ascii="Arial" w:hAnsi="Arial" w:cs="Arial"/>
              </w:rPr>
            </w:pPr>
            <w:r w:rsidRPr="00102AFE">
              <w:rPr>
                <w:rFonts w:ascii="Arial" w:hAnsi="Arial" w:cs="Arial"/>
              </w:rPr>
              <w:t xml:space="preserve">In a survey of peer reviewers, over 50% of firms reviewed failed to comply with the risk assessment standards. Access free </w:t>
            </w:r>
            <w:hyperlink r:id="rId29" w:history="1">
              <w:r w:rsidRPr="00102AFE">
                <w:rPr>
                  <w:rStyle w:val="Hyperlink"/>
                  <w:rFonts w:ascii="Arial" w:hAnsi="Arial" w:cs="Arial"/>
                </w:rPr>
                <w:t>risk assessment tools</w:t>
              </w:r>
            </w:hyperlink>
            <w:r w:rsidRPr="00102AFE">
              <w:rPr>
                <w:rFonts w:ascii="Arial" w:hAnsi="Arial" w:cs="Arial"/>
              </w:rPr>
              <w:t xml:space="preserve">, including industry-specific resources, to help you avoid common issues. </w:t>
            </w:r>
          </w:p>
          <w:p w14:paraId="1FE10838" w14:textId="0E40C03C" w:rsidR="00CA2C14" w:rsidRPr="00102AFE" w:rsidRDefault="00CA2C14" w:rsidP="00CA2C14">
            <w:pPr>
              <w:rPr>
                <w:rFonts w:ascii="Arial" w:hAnsi="Arial" w:cs="Arial"/>
              </w:rPr>
            </w:pPr>
            <w:r w:rsidRPr="00102AFE">
              <w:rPr>
                <w:rFonts w:ascii="Arial" w:hAnsi="Arial" w:cs="Arial"/>
              </w:rPr>
              <w:t xml:space="preserve">Also, </w:t>
            </w:r>
            <w:r w:rsidR="00087C14">
              <w:rPr>
                <w:rFonts w:ascii="Arial" w:hAnsi="Arial" w:cs="Arial"/>
              </w:rPr>
              <w:t>watch</w:t>
            </w:r>
            <w:r w:rsidRPr="00102AFE">
              <w:rPr>
                <w:rFonts w:ascii="Arial" w:hAnsi="Arial" w:cs="Arial"/>
              </w:rPr>
              <w:t xml:space="preserve"> the EAQ’s </w:t>
            </w:r>
            <w:hyperlink r:id="rId30" w:history="1">
              <w:r w:rsidRPr="00102AFE">
                <w:rPr>
                  <w:rStyle w:val="Hyperlink"/>
                  <w:rFonts w:ascii="Arial" w:hAnsi="Arial" w:cs="Arial"/>
                </w:rPr>
                <w:t xml:space="preserve">ENGAGE </w:t>
              </w:r>
              <w:r w:rsidR="00C32EB6">
                <w:rPr>
                  <w:rStyle w:val="Hyperlink"/>
                  <w:rFonts w:ascii="Arial" w:hAnsi="Arial" w:cs="Arial"/>
                </w:rPr>
                <w:t>c</w:t>
              </w:r>
              <w:r w:rsidRPr="00102AFE">
                <w:rPr>
                  <w:rStyle w:val="Hyperlink"/>
                  <w:rFonts w:ascii="Arial" w:hAnsi="Arial" w:cs="Arial"/>
                </w:rPr>
                <w:t>onference presentation</w:t>
              </w:r>
            </w:hyperlink>
            <w:r w:rsidRPr="00102AFE">
              <w:rPr>
                <w:rFonts w:ascii="Arial" w:hAnsi="Arial" w:cs="Arial"/>
              </w:rPr>
              <w:t xml:space="preserve"> with methodology providers to learn how to properly apply their methodologies and avoid the areas creating the most challenges for practitioners.</w:t>
            </w:r>
          </w:p>
          <w:p w14:paraId="17050D89" w14:textId="77777777" w:rsidR="00CA2C14" w:rsidRPr="00E43C61" w:rsidRDefault="00CA2C14" w:rsidP="00CA2C14">
            <w:pPr>
              <w:rPr>
                <w:rFonts w:ascii="Arial" w:hAnsi="Arial" w:cs="Arial"/>
                <w:color w:val="005BBB"/>
                <w:sz w:val="26"/>
                <w:szCs w:val="26"/>
              </w:rPr>
            </w:pPr>
            <w:r w:rsidRPr="00E43C61">
              <w:rPr>
                <w:rFonts w:ascii="Arial" w:hAnsi="Arial" w:cs="Arial"/>
                <w:b/>
                <w:bCs/>
                <w:iCs/>
                <w:color w:val="005BBB"/>
                <w:sz w:val="26"/>
                <w:szCs w:val="26"/>
              </w:rPr>
              <w:t>Internal Control</w:t>
            </w:r>
            <w:r w:rsidRPr="00E43C61">
              <w:rPr>
                <w:rFonts w:ascii="Arial" w:hAnsi="Arial" w:cs="Arial"/>
                <w:color w:val="005BBB"/>
                <w:sz w:val="26"/>
                <w:szCs w:val="26"/>
              </w:rPr>
              <w:t xml:space="preserve"> </w:t>
            </w:r>
          </w:p>
          <w:p w14:paraId="37E4F54C" w14:textId="1A603F0C" w:rsidR="00CA2C14" w:rsidRPr="00102AFE" w:rsidRDefault="00CA2C14" w:rsidP="00CA2C14">
            <w:pPr>
              <w:rPr>
                <w:rFonts w:ascii="Arial" w:hAnsi="Arial" w:cs="Arial"/>
              </w:rPr>
            </w:pPr>
            <w:r>
              <w:rPr>
                <w:noProof/>
              </w:rPr>
              <w:drawing>
                <wp:anchor distT="0" distB="0" distL="114300" distR="114300" simplePos="0" relativeHeight="251664384" behindDoc="1" locked="0" layoutInCell="1" allowOverlap="1" wp14:anchorId="41FEA06A" wp14:editId="5C0BF5A7">
                  <wp:simplePos x="0" y="0"/>
                  <wp:positionH relativeFrom="column">
                    <wp:posOffset>4770120</wp:posOffset>
                  </wp:positionH>
                  <wp:positionV relativeFrom="paragraph">
                    <wp:posOffset>247650</wp:posOffset>
                  </wp:positionV>
                  <wp:extent cx="2285365" cy="2242185"/>
                  <wp:effectExtent l="0" t="0" r="635" b="5715"/>
                  <wp:wrapTight wrapText="bothSides">
                    <wp:wrapPolygon edited="0">
                      <wp:start x="0" y="0"/>
                      <wp:lineTo x="0" y="21472"/>
                      <wp:lineTo x="21426" y="21472"/>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5365" cy="2242185"/>
                          </a:xfrm>
                          <a:prstGeom prst="rect">
                            <a:avLst/>
                          </a:prstGeom>
                          <a:noFill/>
                        </pic:spPr>
                      </pic:pic>
                    </a:graphicData>
                  </a:graphic>
                  <wp14:sizeRelH relativeFrom="page">
                    <wp14:pctWidth>0</wp14:pctWidth>
                  </wp14:sizeRelH>
                  <wp14:sizeRelV relativeFrom="page">
                    <wp14:pctHeight>0</wp14:pctHeight>
                  </wp14:sizeRelV>
                </wp:anchor>
              </w:drawing>
            </w:r>
            <w:r w:rsidRPr="00102AFE">
              <w:rPr>
                <w:rFonts w:ascii="Arial" w:hAnsi="Arial" w:cs="Arial"/>
              </w:rPr>
              <w:t xml:space="preserve">A 2018 Peer Review Program survey found over 40% of audits didn’t comply with AU-C 315 or AU-C 330 because auditors did not properly obtain an understanding of their client’s controls. Visit the EAQ’s free </w:t>
            </w:r>
            <w:hyperlink r:id="rId32" w:history="1">
              <w:r>
                <w:rPr>
                  <w:rStyle w:val="Hyperlink"/>
                  <w:rFonts w:ascii="Arial" w:hAnsi="Arial" w:cs="Arial"/>
                </w:rPr>
                <w:t>int</w:t>
              </w:r>
              <w:r w:rsidRPr="00102AFE">
                <w:rPr>
                  <w:rStyle w:val="Hyperlink"/>
                  <w:rFonts w:ascii="Arial" w:hAnsi="Arial" w:cs="Arial"/>
                </w:rPr>
                <w:t xml:space="preserve">ernal </w:t>
              </w:r>
              <w:r>
                <w:rPr>
                  <w:rStyle w:val="Hyperlink"/>
                  <w:rFonts w:ascii="Arial" w:hAnsi="Arial" w:cs="Arial"/>
                </w:rPr>
                <w:t>c</w:t>
              </w:r>
              <w:r w:rsidRPr="00102AFE">
                <w:rPr>
                  <w:rStyle w:val="Hyperlink"/>
                  <w:rFonts w:ascii="Arial" w:hAnsi="Arial" w:cs="Arial"/>
                </w:rPr>
                <w:t xml:space="preserve">ontrol </w:t>
              </w:r>
              <w:r>
                <w:rPr>
                  <w:rStyle w:val="Hyperlink"/>
                  <w:rFonts w:ascii="Arial" w:hAnsi="Arial" w:cs="Arial"/>
                </w:rPr>
                <w:t>t</w:t>
              </w:r>
              <w:r w:rsidRPr="00102AFE">
                <w:rPr>
                  <w:rStyle w:val="Hyperlink"/>
                  <w:rFonts w:ascii="Arial" w:hAnsi="Arial" w:cs="Arial"/>
                </w:rPr>
                <w:t>oolkit</w:t>
              </w:r>
            </w:hyperlink>
            <w:r w:rsidRPr="00102AFE">
              <w:rPr>
                <w:rFonts w:ascii="Arial" w:hAnsi="Arial" w:cs="Arial"/>
              </w:rPr>
              <w:t xml:space="preserve"> for help complying with the requirements.</w:t>
            </w:r>
          </w:p>
          <w:p w14:paraId="65A324BF" w14:textId="77777777" w:rsidR="00CA2C14" w:rsidRPr="00E43C61" w:rsidRDefault="00CA2C14" w:rsidP="00CA2C14">
            <w:pPr>
              <w:rPr>
                <w:rFonts w:ascii="Arial" w:hAnsi="Arial" w:cs="Arial"/>
                <w:color w:val="005BBB"/>
                <w:sz w:val="26"/>
                <w:szCs w:val="26"/>
              </w:rPr>
            </w:pPr>
            <w:r w:rsidRPr="00E43C61">
              <w:rPr>
                <w:rFonts w:ascii="Arial" w:hAnsi="Arial" w:cs="Arial"/>
                <w:b/>
                <w:bCs/>
                <w:iCs/>
                <w:color w:val="005BBB"/>
                <w:sz w:val="26"/>
                <w:szCs w:val="26"/>
              </w:rPr>
              <w:t>System and Organization Controls (SOC) Engagements</w:t>
            </w:r>
          </w:p>
          <w:p w14:paraId="3EC59FCF" w14:textId="4E341C58" w:rsidR="00CA2C14" w:rsidRPr="00102AFE" w:rsidRDefault="00CA2C14" w:rsidP="00CA2C14">
            <w:pPr>
              <w:rPr>
                <w:rFonts w:ascii="Arial" w:hAnsi="Arial" w:cs="Arial"/>
              </w:rPr>
            </w:pPr>
            <w:r w:rsidRPr="00102AFE">
              <w:rPr>
                <w:rFonts w:ascii="Arial" w:hAnsi="Arial" w:cs="Arial"/>
              </w:rPr>
              <w:t xml:space="preserve">If you’re expanding your service offerings by performing SOC engagements, make sure you understand the common missteps to avoid first. </w:t>
            </w:r>
            <w:r w:rsidR="008E10E7">
              <w:rPr>
                <w:rFonts w:ascii="Arial" w:hAnsi="Arial" w:cs="Arial"/>
              </w:rPr>
              <w:t xml:space="preserve">Access </w:t>
            </w:r>
            <w:hyperlink r:id="rId33" w:history="1">
              <w:r w:rsidRPr="00F055C4">
                <w:rPr>
                  <w:rStyle w:val="Hyperlink"/>
                  <w:rFonts w:ascii="Arial" w:hAnsi="Arial" w:cs="Arial"/>
                </w:rPr>
                <w:t>Common deficiencies peer reviewers noted in SOC 1® and SOC 2®</w:t>
              </w:r>
            </w:hyperlink>
            <w:r w:rsidR="008E10E7">
              <w:rPr>
                <w:rStyle w:val="Hyperlink"/>
                <w:rFonts w:ascii="Arial" w:hAnsi="Arial" w:cs="Arial"/>
              </w:rPr>
              <w:t>,</w:t>
            </w:r>
            <w:r w:rsidR="008E10E7">
              <w:rPr>
                <w:rStyle w:val="Hyperlink"/>
              </w:rPr>
              <w:t xml:space="preserve"> </w:t>
            </w:r>
            <w:r>
              <w:rPr>
                <w:rFonts w:ascii="Arial" w:hAnsi="Arial" w:cs="Arial"/>
              </w:rPr>
              <w:t xml:space="preserve">a </w:t>
            </w:r>
            <w:r w:rsidRPr="00102AFE">
              <w:rPr>
                <w:rFonts w:ascii="Arial" w:hAnsi="Arial" w:cs="Arial"/>
              </w:rPr>
              <w:t>free, non-authoritative</w:t>
            </w:r>
            <w:r>
              <w:rPr>
                <w:rFonts w:ascii="Arial" w:hAnsi="Arial" w:cs="Arial"/>
              </w:rPr>
              <w:t xml:space="preserve"> </w:t>
            </w:r>
            <w:r w:rsidRPr="00102AFE">
              <w:rPr>
                <w:rFonts w:ascii="Arial" w:hAnsi="Arial" w:cs="Arial"/>
              </w:rPr>
              <w:t>resource</w:t>
            </w:r>
            <w:r w:rsidR="008E10E7">
              <w:rPr>
                <w:rFonts w:ascii="Arial" w:hAnsi="Arial" w:cs="Arial"/>
              </w:rPr>
              <w:t>,</w:t>
            </w:r>
            <w:r w:rsidRPr="00102AFE">
              <w:rPr>
                <w:rFonts w:ascii="Arial" w:hAnsi="Arial" w:cs="Arial"/>
              </w:rPr>
              <w:t xml:space="preserve"> </w:t>
            </w:r>
            <w:r w:rsidR="008E10E7">
              <w:rPr>
                <w:rFonts w:ascii="Arial" w:hAnsi="Arial" w:cs="Arial"/>
              </w:rPr>
              <w:t xml:space="preserve">to learn </w:t>
            </w:r>
            <w:r w:rsidRPr="00102AFE">
              <w:rPr>
                <w:rFonts w:ascii="Arial" w:hAnsi="Arial" w:cs="Arial"/>
              </w:rPr>
              <w:t>about common issues identified when performing SOC 1® and SOC 2® engagements</w:t>
            </w:r>
            <w:r w:rsidR="008E10E7">
              <w:rPr>
                <w:rFonts w:ascii="Arial" w:hAnsi="Arial" w:cs="Arial"/>
              </w:rPr>
              <w:t>. View</w:t>
            </w:r>
            <w:r w:rsidRPr="00C32EB6">
              <w:rPr>
                <w:rFonts w:ascii="Arial" w:hAnsi="Arial" w:cs="Arial"/>
              </w:rPr>
              <w:t xml:space="preserve"> </w:t>
            </w:r>
            <w:r w:rsidRPr="00102AFE">
              <w:rPr>
                <w:rFonts w:ascii="Arial" w:hAnsi="Arial" w:cs="Arial"/>
              </w:rPr>
              <w:t xml:space="preserve">additional </w:t>
            </w:r>
            <w:hyperlink r:id="rId34" w:history="1">
              <w:r w:rsidRPr="00102AFE">
                <w:rPr>
                  <w:rStyle w:val="Hyperlink"/>
                  <w:rFonts w:ascii="Arial" w:hAnsi="Arial" w:cs="Arial"/>
                </w:rPr>
                <w:t>SOC resources and education</w:t>
              </w:r>
            </w:hyperlink>
            <w:r w:rsidRPr="00102AFE">
              <w:rPr>
                <w:rFonts w:ascii="Arial" w:hAnsi="Arial" w:cs="Arial"/>
              </w:rPr>
              <w:t xml:space="preserve"> covering SOC for Service Organizations as well as SOC for Cybersecurity. </w:t>
            </w:r>
          </w:p>
          <w:p w14:paraId="3E909BAB" w14:textId="77777777" w:rsidR="00CA2C14" w:rsidRPr="00E43C61" w:rsidRDefault="00CA2C14" w:rsidP="00CA2C14">
            <w:pPr>
              <w:rPr>
                <w:rFonts w:ascii="Arial" w:hAnsi="Arial" w:cs="Arial"/>
                <w:color w:val="005BBB"/>
                <w:sz w:val="26"/>
                <w:szCs w:val="26"/>
              </w:rPr>
            </w:pPr>
            <w:r w:rsidRPr="00E43C61">
              <w:rPr>
                <w:rFonts w:ascii="Arial" w:hAnsi="Arial" w:cs="Arial"/>
                <w:b/>
                <w:bCs/>
                <w:iCs/>
                <w:color w:val="005BBB"/>
                <w:sz w:val="26"/>
                <w:szCs w:val="26"/>
              </w:rPr>
              <w:t>Auditing Estimates</w:t>
            </w:r>
          </w:p>
          <w:p w14:paraId="4CB0D64C" w14:textId="37323C18" w:rsidR="00CA2C14" w:rsidRPr="00102AFE" w:rsidRDefault="00CA2C14" w:rsidP="00CA2C14">
            <w:pPr>
              <w:rPr>
                <w:rFonts w:ascii="Arial" w:hAnsi="Arial" w:cs="Arial"/>
              </w:rPr>
            </w:pPr>
            <w:r w:rsidRPr="00102AFE">
              <w:rPr>
                <w:rFonts w:ascii="Arial" w:hAnsi="Arial" w:cs="Arial"/>
              </w:rPr>
              <w:t>Your attest clients may look to you for guidance on how to implement the new revenue recognition standard (ASC 606). Explore th</w:t>
            </w:r>
            <w:r>
              <w:rPr>
                <w:rFonts w:ascii="Arial" w:hAnsi="Arial" w:cs="Arial"/>
              </w:rPr>
              <w:t>e</w:t>
            </w:r>
            <w:r>
              <w:t xml:space="preserve"> </w:t>
            </w:r>
            <w:r w:rsidRPr="00B04230">
              <w:rPr>
                <w:rFonts w:ascii="Arial" w:hAnsi="Arial" w:cs="Arial"/>
              </w:rPr>
              <w:t>Private Companies Practice Section</w:t>
            </w:r>
            <w:r>
              <w:rPr>
                <w:rFonts w:ascii="Arial" w:hAnsi="Arial" w:cs="Arial"/>
              </w:rPr>
              <w:t xml:space="preserve"> (PCPS) </w:t>
            </w:r>
            <w:hyperlink r:id="rId35" w:history="1">
              <w:r>
                <w:rPr>
                  <w:rStyle w:val="Hyperlink"/>
                  <w:rFonts w:ascii="Arial" w:hAnsi="Arial" w:cs="Arial"/>
                </w:rPr>
                <w:t>revenue recognition toolkit</w:t>
              </w:r>
            </w:hyperlink>
            <w:r w:rsidRPr="00102AFE">
              <w:rPr>
                <w:rFonts w:ascii="Arial" w:hAnsi="Arial" w:cs="Arial"/>
              </w:rPr>
              <w:t xml:space="preserve"> periodically for new resources to help your firm and clients understand the standard</w:t>
            </w:r>
            <w:r>
              <w:rPr>
                <w:rFonts w:ascii="Arial" w:hAnsi="Arial" w:cs="Arial"/>
              </w:rPr>
              <w:t>.</w:t>
            </w:r>
            <w:r w:rsidRPr="00102AFE">
              <w:rPr>
                <w:rFonts w:ascii="Arial" w:hAnsi="Arial" w:cs="Arial"/>
              </w:rPr>
              <w:t xml:space="preserve"> </w:t>
            </w:r>
            <w:r>
              <w:rPr>
                <w:rFonts w:ascii="Arial" w:hAnsi="Arial" w:cs="Arial"/>
              </w:rPr>
              <w:t>Also, c</w:t>
            </w:r>
            <w:r w:rsidRPr="00102AFE">
              <w:rPr>
                <w:rFonts w:ascii="Arial" w:hAnsi="Arial" w:cs="Arial"/>
              </w:rPr>
              <w:t xml:space="preserve">heck out </w:t>
            </w:r>
            <w:r>
              <w:rPr>
                <w:rFonts w:ascii="Arial" w:hAnsi="Arial" w:cs="Arial"/>
              </w:rPr>
              <w:t xml:space="preserve">the </w:t>
            </w:r>
            <w:r w:rsidRPr="00EF65B4">
              <w:rPr>
                <w:rFonts w:ascii="Arial" w:hAnsi="Arial" w:cs="Arial"/>
              </w:rPr>
              <w:t>report</w:t>
            </w:r>
            <w:r w:rsidRPr="00EF65B4">
              <w:rPr>
                <w:rStyle w:val="Hyperlink"/>
                <w:rFonts w:ascii="Arial" w:hAnsi="Arial" w:cs="Arial"/>
                <w:color w:val="auto"/>
                <w:u w:val="none"/>
              </w:rPr>
              <w:t>,</w:t>
            </w:r>
            <w:r w:rsidRPr="008F6E1A">
              <w:rPr>
                <w:rStyle w:val="Hyperlink"/>
                <w:rFonts w:ascii="Arial" w:hAnsi="Arial" w:cs="Arial"/>
                <w:color w:val="auto"/>
                <w:u w:val="none"/>
              </w:rPr>
              <w:t xml:space="preserve"> </w:t>
            </w:r>
            <w:hyperlink r:id="rId36" w:history="1">
              <w:r w:rsidRPr="008F6E1A">
                <w:rPr>
                  <w:rStyle w:val="Hyperlink"/>
                  <w:rFonts w:ascii="Arial" w:hAnsi="Arial" w:cs="Arial"/>
                </w:rPr>
                <w:t>Helping Attest Clients Implement the New Revenue Standard</w:t>
              </w:r>
            </w:hyperlink>
            <w:r w:rsidR="001B6FD5">
              <w:rPr>
                <w:rStyle w:val="Hyperlink"/>
                <w:rFonts w:ascii="Arial" w:hAnsi="Arial" w:cs="Arial"/>
              </w:rPr>
              <w:t>,</w:t>
            </w:r>
            <w:r w:rsidRPr="00102AFE">
              <w:rPr>
                <w:rFonts w:ascii="Arial" w:hAnsi="Arial" w:cs="Arial"/>
              </w:rPr>
              <w:t xml:space="preserve"> to help you avoid jeopardizing your independence. </w:t>
            </w:r>
            <w:r w:rsidR="00060C17">
              <w:rPr>
                <w:rFonts w:ascii="Arial" w:hAnsi="Arial" w:cs="Arial"/>
              </w:rPr>
              <w:t>The</w:t>
            </w:r>
            <w:r w:rsidR="00903BD8">
              <w:rPr>
                <w:rFonts w:ascii="Arial" w:hAnsi="Arial" w:cs="Arial"/>
              </w:rPr>
              <w:t xml:space="preserve"> AICPA </w:t>
            </w:r>
            <w:r w:rsidRPr="00102AFE">
              <w:rPr>
                <w:rFonts w:ascii="Arial" w:hAnsi="Arial" w:cs="Arial"/>
              </w:rPr>
              <w:t>also provide</w:t>
            </w:r>
            <w:r w:rsidR="00903BD8">
              <w:rPr>
                <w:rFonts w:ascii="Arial" w:hAnsi="Arial" w:cs="Arial"/>
              </w:rPr>
              <w:t>s</w:t>
            </w:r>
            <w:r w:rsidRPr="00102AFE">
              <w:rPr>
                <w:rFonts w:ascii="Arial" w:hAnsi="Arial" w:cs="Arial"/>
              </w:rPr>
              <w:t xml:space="preserve"> a number of additional </w:t>
            </w:r>
            <w:hyperlink r:id="rId37" w:history="1">
              <w:r>
                <w:rPr>
                  <w:rStyle w:val="Hyperlink"/>
                  <w:rFonts w:ascii="Arial" w:hAnsi="Arial" w:cs="Arial"/>
                </w:rPr>
                <w:t>FASB ASU 2014-09 references and resources</w:t>
              </w:r>
            </w:hyperlink>
            <w:r>
              <w:rPr>
                <w:rFonts w:ascii="Arial" w:hAnsi="Arial" w:cs="Arial"/>
              </w:rPr>
              <w:t xml:space="preserve">, </w:t>
            </w:r>
            <w:r w:rsidRPr="00102AFE">
              <w:rPr>
                <w:rFonts w:ascii="Arial" w:hAnsi="Arial" w:cs="Arial"/>
              </w:rPr>
              <w:t>including links to Industry Task Forces</w:t>
            </w:r>
            <w:r>
              <w:rPr>
                <w:rFonts w:ascii="Arial" w:hAnsi="Arial" w:cs="Arial"/>
              </w:rPr>
              <w:t xml:space="preserve">, </w:t>
            </w:r>
            <w:r w:rsidRPr="00102AFE">
              <w:rPr>
                <w:rFonts w:ascii="Arial" w:hAnsi="Arial" w:cs="Arial"/>
              </w:rPr>
              <w:t>webcasts and CPE courses available to dive in deeper to the areas you’d like to learn more about.</w:t>
            </w:r>
          </w:p>
          <w:p w14:paraId="371A0005" w14:textId="77777777" w:rsidR="00CA2C14" w:rsidRPr="00E43C61" w:rsidRDefault="00CA2C14" w:rsidP="00CA2C14">
            <w:pPr>
              <w:rPr>
                <w:rFonts w:ascii="Arial" w:hAnsi="Arial" w:cs="Arial"/>
                <w:color w:val="005BBB"/>
                <w:sz w:val="26"/>
                <w:szCs w:val="26"/>
              </w:rPr>
            </w:pPr>
            <w:r w:rsidRPr="00E43C61">
              <w:rPr>
                <w:rFonts w:ascii="Arial" w:hAnsi="Arial" w:cs="Arial"/>
                <w:b/>
                <w:bCs/>
                <w:iCs/>
                <w:color w:val="005BBB"/>
                <w:sz w:val="26"/>
                <w:szCs w:val="26"/>
              </w:rPr>
              <w:t>Documentation</w:t>
            </w:r>
          </w:p>
          <w:p w14:paraId="7B7F948F" w14:textId="610F24F9" w:rsidR="00CA2C14" w:rsidRDefault="00433FE7" w:rsidP="00CA2C14">
            <w:r w:rsidRPr="00E43C61">
              <w:rPr>
                <w:rFonts w:ascii="Arial" w:hAnsi="Arial" w:cs="Arial"/>
                <w:noProof/>
                <w:color w:val="005BBB"/>
              </w:rPr>
              <mc:AlternateContent>
                <mc:Choice Requires="wps">
                  <w:drawing>
                    <wp:anchor distT="0" distB="0" distL="114300" distR="114300" simplePos="0" relativeHeight="251681792" behindDoc="0" locked="0" layoutInCell="1" allowOverlap="1" wp14:anchorId="61FD4381" wp14:editId="696F8C6F">
                      <wp:simplePos x="0" y="0"/>
                      <wp:positionH relativeFrom="column">
                        <wp:posOffset>6210300</wp:posOffset>
                      </wp:positionH>
                      <wp:positionV relativeFrom="paragraph">
                        <wp:posOffset>549910</wp:posOffset>
                      </wp:positionV>
                      <wp:extent cx="57150" cy="571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005BBB"/>
                              </a:solidFill>
                              <a:ln>
                                <a:solidFill>
                                  <a:srgbClr val="005B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7104" id="Rectangle 22" o:spid="_x0000_s1026" style="position:absolute;margin-left:489pt;margin-top:43.3pt;width:4.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" fillcolor="#005bbb" strokecolor="#005bbb" strokeweight="1pt"/>
                  </w:pict>
                </mc:Fallback>
              </mc:AlternateContent>
            </w:r>
            <w:r w:rsidR="00CA2C14" w:rsidRPr="00102AFE">
              <w:rPr>
                <w:rFonts w:ascii="Arial" w:hAnsi="Arial" w:cs="Arial"/>
              </w:rPr>
              <w:t>One of the most common audit quality issues isn’t related to a recently issued standard or a complex area of guidanc</w:t>
            </w:r>
            <w:r w:rsidR="00CA2C14">
              <w:rPr>
                <w:rFonts w:ascii="Arial" w:hAnsi="Arial" w:cs="Arial"/>
              </w:rPr>
              <w:t xml:space="preserve">e; </w:t>
            </w:r>
            <w:r w:rsidR="00CA2C14" w:rsidRPr="00102AFE">
              <w:rPr>
                <w:rFonts w:ascii="Arial" w:hAnsi="Arial" w:cs="Arial"/>
              </w:rPr>
              <w:t xml:space="preserve">it’s a lack of adequate audit documentation. These free </w:t>
            </w:r>
            <w:hyperlink r:id="rId38" w:history="1">
              <w:r w:rsidR="00CA2C14">
                <w:rPr>
                  <w:rStyle w:val="Hyperlink"/>
                  <w:rFonts w:ascii="Arial" w:hAnsi="Arial" w:cs="Arial"/>
                </w:rPr>
                <w:t>audit documentation resources</w:t>
              </w:r>
            </w:hyperlink>
            <w:r w:rsidR="00CA2C14" w:rsidRPr="00102AFE">
              <w:rPr>
                <w:rFonts w:ascii="Arial" w:hAnsi="Arial" w:cs="Arial"/>
              </w:rPr>
              <w:t xml:space="preserve"> will help you document appropriately and comply with the standards.</w:t>
            </w:r>
            <w:r w:rsidR="00CA2C14">
              <w:t xml:space="preserve"> </w:t>
            </w:r>
            <w:r w:rsidR="00CA2C14" w:rsidRPr="00102AFE">
              <w:rPr>
                <w:rFonts w:ascii="Arial" w:hAnsi="Arial" w:cs="Arial"/>
              </w:rPr>
              <w:t>Also, the blog post,</w:t>
            </w:r>
            <w:r w:rsidR="00CA2C14">
              <w:t xml:space="preserve"> </w:t>
            </w:r>
            <w:hyperlink r:id="rId39" w:anchor="sthash.QSCAVrV8.EBrAptSn.dpbs" w:history="1">
              <w:r w:rsidR="00CA2C14">
                <w:rPr>
                  <w:rStyle w:val="Hyperlink"/>
                  <w:rFonts w:ascii="Arial" w:hAnsi="Arial" w:cs="Arial"/>
                </w:rPr>
                <w:t>Advice from a Peer Reviewer: Documentation Missteps to Avoid</w:t>
              </w:r>
            </w:hyperlink>
            <w:r w:rsidR="00CA2C14">
              <w:rPr>
                <w:rFonts w:ascii="Arial" w:hAnsi="Arial" w:cs="Arial"/>
              </w:rPr>
              <w:t xml:space="preserve"> discusses</w:t>
            </w:r>
            <w:r w:rsidR="00CA2C14" w:rsidRPr="00102AFE">
              <w:rPr>
                <w:rFonts w:ascii="Arial" w:hAnsi="Arial" w:cs="Arial"/>
              </w:rPr>
              <w:t xml:space="preserve"> documentation missteps to avoid in your engagements.</w:t>
            </w:r>
            <w:r w:rsidR="009914E3">
              <w:rPr>
                <w:rFonts w:ascii="Arial" w:hAnsi="Arial" w:cs="Arial"/>
              </w:rPr>
              <w:t xml:space="preserve"> </w:t>
            </w:r>
          </w:p>
          <w:p w14:paraId="68731C7F" w14:textId="77777777" w:rsidR="00CA2C14" w:rsidRPr="00102AFE" w:rsidRDefault="00CA2C14" w:rsidP="00CA2C14">
            <w:pPr>
              <w:rPr>
                <w:rFonts w:ascii="Arial" w:hAnsi="Arial" w:cs="Arial"/>
              </w:rPr>
            </w:pPr>
          </w:p>
          <w:p w14:paraId="2319195E" w14:textId="77777777" w:rsidR="00CA2C14" w:rsidRDefault="00CA2C14" w:rsidP="00CA2C14">
            <w:pPr>
              <w:jc w:val="both"/>
            </w:pPr>
          </w:p>
          <w:p w14:paraId="14EEEDD6" w14:textId="77777777" w:rsidR="00CA2C14" w:rsidRPr="005529FF" w:rsidRDefault="00CA2C14" w:rsidP="00CA2C14">
            <w:pPr>
              <w:jc w:val="both"/>
            </w:pPr>
          </w:p>
        </w:tc>
      </w:tr>
      <w:tr w:rsidR="00CA2C14" w:rsidRPr="00A41C29" w14:paraId="78282DE2" w14:textId="77777777" w:rsidTr="004333B8">
        <w:trPr>
          <w:trHeight w:val="40"/>
        </w:trPr>
        <w:tc>
          <w:tcPr>
            <w:tcW w:w="5000" w:type="pct"/>
            <w:shd w:val="clear" w:color="auto" w:fill="005BBB"/>
            <w:tcMar>
              <w:right w:w="216" w:type="dxa"/>
            </w:tcMar>
          </w:tcPr>
          <w:p w14:paraId="4AF3704E" w14:textId="77777777" w:rsidR="00CA2C14" w:rsidRPr="00A41C29" w:rsidRDefault="00CA2C14" w:rsidP="00CA2C14">
            <w:pPr>
              <w:pStyle w:val="Heading1"/>
              <w:tabs>
                <w:tab w:val="left" w:pos="601"/>
              </w:tabs>
              <w:spacing w:before="0" w:after="0"/>
              <w:jc w:val="both"/>
              <w:rPr>
                <w:rFonts w:ascii="Arial" w:hAnsi="Arial" w:cs="Arial"/>
                <w:caps w:val="0"/>
                <w:color w:val="FFFFFF" w:themeColor="background1"/>
                <w:sz w:val="36"/>
                <w:szCs w:val="36"/>
              </w:rPr>
            </w:pPr>
            <w:r>
              <w:rPr>
                <w:rFonts w:asciiTheme="minorHAnsi" w:hAnsiTheme="minorHAnsi" w:cs="Georgia"/>
                <w:b w:val="0"/>
                <w:bCs w:val="0"/>
                <w:caps w:val="0"/>
                <w:color w:val="auto"/>
                <w:sz w:val="22"/>
                <w:szCs w:val="22"/>
              </w:rPr>
              <w:br w:type="page"/>
            </w:r>
            <w:r>
              <w:br w:type="page"/>
            </w:r>
            <w:r w:rsidRPr="001A680D">
              <w:rPr>
                <w:rFonts w:ascii="Calibri Light" w:hAnsi="Calibri Light" w:cs="Georgia"/>
                <w:bCs w:val="0"/>
                <w:color w:val="FFFFFF" w:themeColor="background1"/>
                <w:sz w:val="40"/>
                <w:szCs w:val="22"/>
              </w:rPr>
              <w:br w:type="page"/>
            </w:r>
          </w:p>
        </w:tc>
      </w:tr>
    </w:tbl>
    <w:p w14:paraId="03D49D4A" w14:textId="226E0AD5" w:rsidR="005D42A9" w:rsidRPr="000B6650" w:rsidRDefault="005D42A9" w:rsidP="000B6650">
      <w:pPr>
        <w:widowControl/>
        <w:autoSpaceDE/>
        <w:autoSpaceDN/>
        <w:adjustRightInd/>
        <w:spacing w:after="240"/>
        <w:rPr>
          <w:rFonts w:cs="Times New Roman"/>
          <w:sz w:val="10"/>
        </w:rPr>
      </w:pPr>
    </w:p>
    <w:sectPr w:rsidR="005D42A9" w:rsidRPr="000B6650" w:rsidSect="00AB5A4F">
      <w:footerReference w:type="default" r:id="rId40"/>
      <w:footerReference w:type="first" r:id="rId41"/>
      <w:type w:val="continuous"/>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27F0" w14:textId="77777777" w:rsidR="00574441" w:rsidRDefault="00574441" w:rsidP="00C03D04">
      <w:r>
        <w:separator/>
      </w:r>
    </w:p>
  </w:endnote>
  <w:endnote w:type="continuationSeparator" w:id="0">
    <w:p w14:paraId="24B9A33C" w14:textId="77777777" w:rsidR="00574441" w:rsidRDefault="0057444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E4F" w14:textId="50F3331C" w:rsidR="00AB5A4F" w:rsidRPr="000B7C55" w:rsidRDefault="000B4FA9" w:rsidP="00AB5A4F">
    <w:pPr>
      <w:pStyle w:val="Footer"/>
      <w:jc w:val="right"/>
      <w:rPr>
        <w:rFonts w:ascii="Arial" w:hAnsi="Arial" w:cs="Arial"/>
        <w:color w:val="005BBB"/>
      </w:rPr>
    </w:pPr>
    <w:r w:rsidRPr="000B7C55">
      <w:rPr>
        <w:color w:val="005BBB"/>
      </w:rPr>
      <w:t xml:space="preserve">                                                             </w:t>
    </w:r>
    <w:r w:rsidR="00326537" w:rsidRPr="000B7C55">
      <w:rPr>
        <w:color w:val="005BBB"/>
      </w:rPr>
      <w:t xml:space="preserve">       </w:t>
    </w:r>
    <w:r w:rsidR="00AB5A4F" w:rsidRPr="000B7C55">
      <w:rPr>
        <w:color w:val="005BBB"/>
      </w:rPr>
      <w:tab/>
    </w:r>
    <w:r w:rsidR="00AB5A4F" w:rsidRPr="000B7C55">
      <w:rPr>
        <w:color w:val="005BBB"/>
      </w:rPr>
      <w:tab/>
    </w:r>
    <w:r w:rsidR="00AB5A4F" w:rsidRPr="000B7C55">
      <w:rPr>
        <w:rFonts w:ascii="Arial" w:hAnsi="Arial" w:cs="Arial"/>
        <w:color w:val="005BBB"/>
      </w:rPr>
      <w:t xml:space="preserve">Fall 2019 </w:t>
    </w:r>
    <w:r w:rsidR="00DB21F5" w:rsidRPr="000B7C55">
      <w:rPr>
        <w:rFonts w:ascii="Arial" w:hAnsi="Arial" w:cs="Arial"/>
        <w:color w:val="005BBB"/>
      </w:rPr>
      <w:t>E</w:t>
    </w:r>
    <w:r w:rsidR="00AB5A4F" w:rsidRPr="000B7C55">
      <w:rPr>
        <w:rFonts w:ascii="Arial" w:hAnsi="Arial" w:cs="Arial"/>
        <w:color w:val="005BBB"/>
      </w:rPr>
      <w:t>dition</w:t>
    </w:r>
    <w:r w:rsidR="00E05479">
      <w:rPr>
        <w:rFonts w:ascii="Arial" w:hAnsi="Arial" w:cs="Arial"/>
        <w:color w:val="005BBB"/>
      </w:rPr>
      <w:t xml:space="preserve"> - REVISED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AA4" w14:textId="77777777" w:rsidR="00AB5A4F" w:rsidRPr="00AB5A4F" w:rsidRDefault="00AB5A4F" w:rsidP="00AB5A4F">
    <w:pPr>
      <w:pStyle w:val="Footer"/>
      <w:jc w:val="right"/>
      <w:rPr>
        <w:color w:val="7030A0"/>
      </w:rPr>
    </w:pPr>
    <w:r w:rsidRPr="00AB5A4F">
      <w:rPr>
        <w:color w:val="7030A0"/>
      </w:rPr>
      <w:t>Fall 2019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EE13" w14:textId="77777777" w:rsidR="00574441" w:rsidRDefault="00574441" w:rsidP="00C03D04">
      <w:r>
        <w:separator/>
      </w:r>
    </w:p>
  </w:footnote>
  <w:footnote w:type="continuationSeparator" w:id="0">
    <w:p w14:paraId="05CA8818" w14:textId="77777777" w:rsidR="00574441" w:rsidRDefault="00574441" w:rsidP="00C0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3CD2"/>
    <w:multiLevelType w:val="hybridMultilevel"/>
    <w:tmpl w:val="E48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E85"/>
    <w:multiLevelType w:val="multilevel"/>
    <w:tmpl w:val="114AC90A"/>
    <w:lvl w:ilvl="0">
      <w:start w:val="1"/>
      <w:numFmt w:val="bullet"/>
      <w:lvlText w:val=""/>
      <w:lvlJc w:val="left"/>
      <w:pPr>
        <w:tabs>
          <w:tab w:val="num" w:pos="1488"/>
        </w:tabs>
        <w:ind w:left="1488" w:hanging="360"/>
      </w:pPr>
      <w:rPr>
        <w:rFonts w:ascii="Symbol" w:hAnsi="Symbol" w:hint="default"/>
        <w:sz w:val="20"/>
      </w:rPr>
    </w:lvl>
    <w:lvl w:ilvl="1">
      <w:start w:val="1"/>
      <w:numFmt w:val="bullet"/>
      <w:lvlText w:val="o"/>
      <w:lvlJc w:val="left"/>
      <w:pPr>
        <w:tabs>
          <w:tab w:val="num" w:pos="2208"/>
        </w:tabs>
        <w:ind w:left="2208" w:hanging="360"/>
      </w:pPr>
      <w:rPr>
        <w:rFonts w:ascii="Courier New" w:hAnsi="Courier New" w:cs="Times New Roman" w:hint="default"/>
        <w:sz w:val="20"/>
      </w:rPr>
    </w:lvl>
    <w:lvl w:ilvl="2">
      <w:start w:val="1"/>
      <w:numFmt w:val="bullet"/>
      <w:lvlText w:val=""/>
      <w:lvlJc w:val="left"/>
      <w:pPr>
        <w:tabs>
          <w:tab w:val="num" w:pos="2928"/>
        </w:tabs>
        <w:ind w:left="2928" w:hanging="360"/>
      </w:pPr>
      <w:rPr>
        <w:rFonts w:ascii="Wingdings" w:hAnsi="Wingdings" w:hint="default"/>
        <w:sz w:val="20"/>
      </w:rPr>
    </w:lvl>
    <w:lvl w:ilvl="3">
      <w:start w:val="1"/>
      <w:numFmt w:val="bullet"/>
      <w:lvlText w:val=""/>
      <w:lvlJc w:val="left"/>
      <w:pPr>
        <w:tabs>
          <w:tab w:val="num" w:pos="3648"/>
        </w:tabs>
        <w:ind w:left="3648" w:hanging="360"/>
      </w:pPr>
      <w:rPr>
        <w:rFonts w:ascii="Wingdings" w:hAnsi="Wingdings" w:hint="default"/>
        <w:sz w:val="20"/>
      </w:rPr>
    </w:lvl>
    <w:lvl w:ilvl="4">
      <w:start w:val="1"/>
      <w:numFmt w:val="bullet"/>
      <w:lvlText w:val=""/>
      <w:lvlJc w:val="left"/>
      <w:pPr>
        <w:tabs>
          <w:tab w:val="num" w:pos="4368"/>
        </w:tabs>
        <w:ind w:left="4368" w:hanging="360"/>
      </w:pPr>
      <w:rPr>
        <w:rFonts w:ascii="Wingdings" w:hAnsi="Wingdings" w:hint="default"/>
        <w:sz w:val="20"/>
      </w:rPr>
    </w:lvl>
    <w:lvl w:ilvl="5">
      <w:start w:val="1"/>
      <w:numFmt w:val="bullet"/>
      <w:lvlText w:val=""/>
      <w:lvlJc w:val="left"/>
      <w:pPr>
        <w:tabs>
          <w:tab w:val="num" w:pos="5088"/>
        </w:tabs>
        <w:ind w:left="5088" w:hanging="360"/>
      </w:pPr>
      <w:rPr>
        <w:rFonts w:ascii="Wingdings" w:hAnsi="Wingdings" w:hint="default"/>
        <w:sz w:val="20"/>
      </w:rPr>
    </w:lvl>
    <w:lvl w:ilvl="6">
      <w:start w:val="1"/>
      <w:numFmt w:val="bullet"/>
      <w:lvlText w:val=""/>
      <w:lvlJc w:val="left"/>
      <w:pPr>
        <w:tabs>
          <w:tab w:val="num" w:pos="5808"/>
        </w:tabs>
        <w:ind w:left="5808" w:hanging="360"/>
      </w:pPr>
      <w:rPr>
        <w:rFonts w:ascii="Wingdings" w:hAnsi="Wingdings" w:hint="default"/>
        <w:sz w:val="20"/>
      </w:rPr>
    </w:lvl>
    <w:lvl w:ilvl="7">
      <w:start w:val="1"/>
      <w:numFmt w:val="bullet"/>
      <w:lvlText w:val=""/>
      <w:lvlJc w:val="left"/>
      <w:pPr>
        <w:tabs>
          <w:tab w:val="num" w:pos="6528"/>
        </w:tabs>
        <w:ind w:left="6528" w:hanging="360"/>
      </w:pPr>
      <w:rPr>
        <w:rFonts w:ascii="Wingdings" w:hAnsi="Wingdings" w:hint="default"/>
        <w:sz w:val="20"/>
      </w:rPr>
    </w:lvl>
    <w:lvl w:ilvl="8">
      <w:start w:val="1"/>
      <w:numFmt w:val="bullet"/>
      <w:lvlText w:val=""/>
      <w:lvlJc w:val="left"/>
      <w:pPr>
        <w:tabs>
          <w:tab w:val="num" w:pos="7248"/>
        </w:tabs>
        <w:ind w:left="7248" w:hanging="360"/>
      </w:pPr>
      <w:rPr>
        <w:rFonts w:ascii="Wingdings" w:hAnsi="Wingdings" w:hint="default"/>
        <w:sz w:val="20"/>
      </w:rPr>
    </w:lvl>
  </w:abstractNum>
  <w:abstractNum w:abstractNumId="2" w15:restartNumberingAfterBreak="0">
    <w:nsid w:val="2AEE2BFD"/>
    <w:multiLevelType w:val="hybridMultilevel"/>
    <w:tmpl w:val="8828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B5FFA"/>
    <w:multiLevelType w:val="hybridMultilevel"/>
    <w:tmpl w:val="A6F4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FC05DB"/>
    <w:multiLevelType w:val="hybridMultilevel"/>
    <w:tmpl w:val="8DE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6133D"/>
    <w:multiLevelType w:val="hybridMultilevel"/>
    <w:tmpl w:val="6B6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B2A63"/>
    <w:multiLevelType w:val="hybridMultilevel"/>
    <w:tmpl w:val="C4A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8230D"/>
    <w:multiLevelType w:val="multilevel"/>
    <w:tmpl w:val="C5C2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80162"/>
    <w:multiLevelType w:val="hybridMultilevel"/>
    <w:tmpl w:val="542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C7711"/>
    <w:multiLevelType w:val="hybridMultilevel"/>
    <w:tmpl w:val="1E2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5"/>
  </w:num>
  <w:num w:numId="6">
    <w:abstractNumId w:val="9"/>
  </w:num>
  <w:num w:numId="7">
    <w:abstractNumId w:val="0"/>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9"/>
    <w:rsid w:val="0001285C"/>
    <w:rsid w:val="000141E1"/>
    <w:rsid w:val="000266D5"/>
    <w:rsid w:val="00034F4B"/>
    <w:rsid w:val="00041E9D"/>
    <w:rsid w:val="0005661F"/>
    <w:rsid w:val="00060C17"/>
    <w:rsid w:val="000709BE"/>
    <w:rsid w:val="000729F4"/>
    <w:rsid w:val="000735A5"/>
    <w:rsid w:val="00083B72"/>
    <w:rsid w:val="00086AE5"/>
    <w:rsid w:val="00087C14"/>
    <w:rsid w:val="00096C9D"/>
    <w:rsid w:val="000B4FA9"/>
    <w:rsid w:val="000B56D8"/>
    <w:rsid w:val="000B6650"/>
    <w:rsid w:val="000B7C55"/>
    <w:rsid w:val="000D53AE"/>
    <w:rsid w:val="000F69D6"/>
    <w:rsid w:val="00130004"/>
    <w:rsid w:val="00141F71"/>
    <w:rsid w:val="00143140"/>
    <w:rsid w:val="00157235"/>
    <w:rsid w:val="00162A07"/>
    <w:rsid w:val="00162CC0"/>
    <w:rsid w:val="00175F1B"/>
    <w:rsid w:val="00176141"/>
    <w:rsid w:val="00184B50"/>
    <w:rsid w:val="001A5577"/>
    <w:rsid w:val="001A680D"/>
    <w:rsid w:val="001B6FD5"/>
    <w:rsid w:val="001B7C30"/>
    <w:rsid w:val="001D41D0"/>
    <w:rsid w:val="001D4C22"/>
    <w:rsid w:val="002118A9"/>
    <w:rsid w:val="00211952"/>
    <w:rsid w:val="0022312A"/>
    <w:rsid w:val="00226368"/>
    <w:rsid w:val="00237E07"/>
    <w:rsid w:val="0025049C"/>
    <w:rsid w:val="002606D8"/>
    <w:rsid w:val="00277C47"/>
    <w:rsid w:val="00284ACB"/>
    <w:rsid w:val="00290F3B"/>
    <w:rsid w:val="002B7E4D"/>
    <w:rsid w:val="002E1EC1"/>
    <w:rsid w:val="002E76DC"/>
    <w:rsid w:val="002F0367"/>
    <w:rsid w:val="002F7C44"/>
    <w:rsid w:val="00310CBF"/>
    <w:rsid w:val="0031514E"/>
    <w:rsid w:val="00322C99"/>
    <w:rsid w:val="00326537"/>
    <w:rsid w:val="00333719"/>
    <w:rsid w:val="0033720E"/>
    <w:rsid w:val="003715B3"/>
    <w:rsid w:val="003B7448"/>
    <w:rsid w:val="003C1FEF"/>
    <w:rsid w:val="003D4204"/>
    <w:rsid w:val="003E00D2"/>
    <w:rsid w:val="003E08C2"/>
    <w:rsid w:val="003F4B29"/>
    <w:rsid w:val="00404E8E"/>
    <w:rsid w:val="00412227"/>
    <w:rsid w:val="004333B8"/>
    <w:rsid w:val="00433FE7"/>
    <w:rsid w:val="00444777"/>
    <w:rsid w:val="004678BD"/>
    <w:rsid w:val="0047779F"/>
    <w:rsid w:val="00490CE0"/>
    <w:rsid w:val="004925B4"/>
    <w:rsid w:val="004F4552"/>
    <w:rsid w:val="004F663D"/>
    <w:rsid w:val="00526BF8"/>
    <w:rsid w:val="00531692"/>
    <w:rsid w:val="00533DA1"/>
    <w:rsid w:val="005529FF"/>
    <w:rsid w:val="00560801"/>
    <w:rsid w:val="00565993"/>
    <w:rsid w:val="00570BE7"/>
    <w:rsid w:val="00571F64"/>
    <w:rsid w:val="00574441"/>
    <w:rsid w:val="005829BD"/>
    <w:rsid w:val="00587FD3"/>
    <w:rsid w:val="00594847"/>
    <w:rsid w:val="005D42A9"/>
    <w:rsid w:val="005D5C04"/>
    <w:rsid w:val="00602E6B"/>
    <w:rsid w:val="00616EA8"/>
    <w:rsid w:val="006205EC"/>
    <w:rsid w:val="006500F6"/>
    <w:rsid w:val="00655C5F"/>
    <w:rsid w:val="006563D7"/>
    <w:rsid w:val="0067171C"/>
    <w:rsid w:val="00692BAF"/>
    <w:rsid w:val="0069357F"/>
    <w:rsid w:val="006B317F"/>
    <w:rsid w:val="006B50BF"/>
    <w:rsid w:val="006C705E"/>
    <w:rsid w:val="007509A9"/>
    <w:rsid w:val="00762796"/>
    <w:rsid w:val="00776105"/>
    <w:rsid w:val="0077613F"/>
    <w:rsid w:val="00776379"/>
    <w:rsid w:val="007A1467"/>
    <w:rsid w:val="007B1B50"/>
    <w:rsid w:val="007C0018"/>
    <w:rsid w:val="007E07A0"/>
    <w:rsid w:val="007E7714"/>
    <w:rsid w:val="007F46FE"/>
    <w:rsid w:val="008027D0"/>
    <w:rsid w:val="0080507F"/>
    <w:rsid w:val="00814F60"/>
    <w:rsid w:val="0083353A"/>
    <w:rsid w:val="00842D33"/>
    <w:rsid w:val="00844B11"/>
    <w:rsid w:val="00847CB0"/>
    <w:rsid w:val="008665EC"/>
    <w:rsid w:val="008747E6"/>
    <w:rsid w:val="0088567F"/>
    <w:rsid w:val="00885699"/>
    <w:rsid w:val="00896CC8"/>
    <w:rsid w:val="008A49D6"/>
    <w:rsid w:val="008A7A52"/>
    <w:rsid w:val="008C24B3"/>
    <w:rsid w:val="008C7B39"/>
    <w:rsid w:val="008D42B1"/>
    <w:rsid w:val="008E0A42"/>
    <w:rsid w:val="008E10E7"/>
    <w:rsid w:val="008E7883"/>
    <w:rsid w:val="008F6E1A"/>
    <w:rsid w:val="00903BD8"/>
    <w:rsid w:val="009052F9"/>
    <w:rsid w:val="00912750"/>
    <w:rsid w:val="009143F0"/>
    <w:rsid w:val="0091621A"/>
    <w:rsid w:val="00934CCE"/>
    <w:rsid w:val="00943E09"/>
    <w:rsid w:val="0094526C"/>
    <w:rsid w:val="00962301"/>
    <w:rsid w:val="00975383"/>
    <w:rsid w:val="00982C63"/>
    <w:rsid w:val="009914E3"/>
    <w:rsid w:val="00994153"/>
    <w:rsid w:val="009A10EC"/>
    <w:rsid w:val="009A504D"/>
    <w:rsid w:val="009A5818"/>
    <w:rsid w:val="009A6A31"/>
    <w:rsid w:val="009B325A"/>
    <w:rsid w:val="009B4D58"/>
    <w:rsid w:val="009C3909"/>
    <w:rsid w:val="009C4F3A"/>
    <w:rsid w:val="009E0122"/>
    <w:rsid w:val="009F11E3"/>
    <w:rsid w:val="00A02EA9"/>
    <w:rsid w:val="00A10FEC"/>
    <w:rsid w:val="00A1143D"/>
    <w:rsid w:val="00A11F83"/>
    <w:rsid w:val="00A162BC"/>
    <w:rsid w:val="00A32355"/>
    <w:rsid w:val="00A45363"/>
    <w:rsid w:val="00A6047E"/>
    <w:rsid w:val="00A61B29"/>
    <w:rsid w:val="00A93F9E"/>
    <w:rsid w:val="00A97706"/>
    <w:rsid w:val="00AA1324"/>
    <w:rsid w:val="00AB5A4F"/>
    <w:rsid w:val="00AC26D7"/>
    <w:rsid w:val="00AC4ABB"/>
    <w:rsid w:val="00AD0E8E"/>
    <w:rsid w:val="00AD59D8"/>
    <w:rsid w:val="00B004AA"/>
    <w:rsid w:val="00B010A5"/>
    <w:rsid w:val="00B03852"/>
    <w:rsid w:val="00B04230"/>
    <w:rsid w:val="00B23553"/>
    <w:rsid w:val="00B30DC4"/>
    <w:rsid w:val="00B47460"/>
    <w:rsid w:val="00B57F7C"/>
    <w:rsid w:val="00B679F9"/>
    <w:rsid w:val="00B70EC0"/>
    <w:rsid w:val="00B7159B"/>
    <w:rsid w:val="00B93762"/>
    <w:rsid w:val="00BD13D2"/>
    <w:rsid w:val="00BD3882"/>
    <w:rsid w:val="00BE3DBB"/>
    <w:rsid w:val="00C03D04"/>
    <w:rsid w:val="00C05148"/>
    <w:rsid w:val="00C22C56"/>
    <w:rsid w:val="00C2438C"/>
    <w:rsid w:val="00C32EB6"/>
    <w:rsid w:val="00C37E0F"/>
    <w:rsid w:val="00C503F2"/>
    <w:rsid w:val="00C515C5"/>
    <w:rsid w:val="00C579C4"/>
    <w:rsid w:val="00CA2C14"/>
    <w:rsid w:val="00CE7C44"/>
    <w:rsid w:val="00CF01CB"/>
    <w:rsid w:val="00D06B69"/>
    <w:rsid w:val="00D2071C"/>
    <w:rsid w:val="00D471F4"/>
    <w:rsid w:val="00D636D7"/>
    <w:rsid w:val="00D658E0"/>
    <w:rsid w:val="00D70553"/>
    <w:rsid w:val="00D87CE9"/>
    <w:rsid w:val="00D90E70"/>
    <w:rsid w:val="00DA2659"/>
    <w:rsid w:val="00DA41FD"/>
    <w:rsid w:val="00DB21F5"/>
    <w:rsid w:val="00DC5C6E"/>
    <w:rsid w:val="00DD7BB5"/>
    <w:rsid w:val="00DE5D33"/>
    <w:rsid w:val="00DF0D6C"/>
    <w:rsid w:val="00E01082"/>
    <w:rsid w:val="00E05479"/>
    <w:rsid w:val="00E07FA4"/>
    <w:rsid w:val="00E43C61"/>
    <w:rsid w:val="00E55A80"/>
    <w:rsid w:val="00E55FEC"/>
    <w:rsid w:val="00E9728B"/>
    <w:rsid w:val="00EA60CF"/>
    <w:rsid w:val="00ED103E"/>
    <w:rsid w:val="00ED53BC"/>
    <w:rsid w:val="00ED5833"/>
    <w:rsid w:val="00EE7750"/>
    <w:rsid w:val="00EF65B4"/>
    <w:rsid w:val="00F02DAD"/>
    <w:rsid w:val="00F055C4"/>
    <w:rsid w:val="00F1614F"/>
    <w:rsid w:val="00F252C7"/>
    <w:rsid w:val="00F42253"/>
    <w:rsid w:val="00F46B32"/>
    <w:rsid w:val="00F5172D"/>
    <w:rsid w:val="00F75808"/>
    <w:rsid w:val="00F921A1"/>
    <w:rsid w:val="00FA5DDD"/>
    <w:rsid w:val="00FD5F54"/>
    <w:rsid w:val="00FE1B6A"/>
    <w:rsid w:val="00FE786A"/>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B9FD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3F4B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29"/>
    <w:rPr>
      <w:rFonts w:ascii="Segoe UI" w:hAnsi="Segoe UI" w:cs="Segoe UI"/>
      <w:sz w:val="18"/>
      <w:szCs w:val="18"/>
    </w:rPr>
  </w:style>
  <w:style w:type="character" w:styleId="Hyperlink">
    <w:name w:val="Hyperlink"/>
    <w:basedOn w:val="DefaultParagraphFont"/>
    <w:uiPriority w:val="99"/>
    <w:unhideWhenUsed/>
    <w:rsid w:val="003F4B29"/>
    <w:rPr>
      <w:color w:val="0046AD"/>
      <w:u w:val="single"/>
    </w:rPr>
  </w:style>
  <w:style w:type="character" w:styleId="CommentReference">
    <w:name w:val="annotation reference"/>
    <w:basedOn w:val="DefaultParagraphFont"/>
    <w:uiPriority w:val="99"/>
    <w:semiHidden/>
    <w:unhideWhenUsed/>
    <w:rsid w:val="002E1EC1"/>
    <w:rPr>
      <w:sz w:val="16"/>
      <w:szCs w:val="16"/>
    </w:rPr>
  </w:style>
  <w:style w:type="paragraph" w:styleId="CommentText">
    <w:name w:val="annotation text"/>
    <w:basedOn w:val="Normal"/>
    <w:link w:val="CommentTextChar"/>
    <w:uiPriority w:val="99"/>
    <w:semiHidden/>
    <w:unhideWhenUsed/>
    <w:rsid w:val="002E1EC1"/>
    <w:rPr>
      <w:sz w:val="20"/>
      <w:szCs w:val="20"/>
    </w:rPr>
  </w:style>
  <w:style w:type="character" w:customStyle="1" w:styleId="CommentTextChar">
    <w:name w:val="Comment Text Char"/>
    <w:basedOn w:val="DefaultParagraphFont"/>
    <w:link w:val="CommentText"/>
    <w:uiPriority w:val="99"/>
    <w:semiHidden/>
    <w:rsid w:val="002E1EC1"/>
    <w:rPr>
      <w:rFonts w:cs="Georgia"/>
      <w:sz w:val="20"/>
      <w:szCs w:val="20"/>
    </w:rPr>
  </w:style>
  <w:style w:type="paragraph" w:styleId="CommentSubject">
    <w:name w:val="annotation subject"/>
    <w:basedOn w:val="CommentText"/>
    <w:next w:val="CommentText"/>
    <w:link w:val="CommentSubjectChar"/>
    <w:uiPriority w:val="99"/>
    <w:semiHidden/>
    <w:unhideWhenUsed/>
    <w:rsid w:val="002E1EC1"/>
    <w:rPr>
      <w:b/>
      <w:bCs/>
    </w:rPr>
  </w:style>
  <w:style w:type="character" w:customStyle="1" w:styleId="CommentSubjectChar">
    <w:name w:val="Comment Subject Char"/>
    <w:basedOn w:val="CommentTextChar"/>
    <w:link w:val="CommentSubject"/>
    <w:uiPriority w:val="99"/>
    <w:semiHidden/>
    <w:rsid w:val="002E1EC1"/>
    <w:rPr>
      <w:rFonts w:cs="Georgia"/>
      <w:b/>
      <w:bCs/>
      <w:sz w:val="20"/>
      <w:szCs w:val="20"/>
    </w:rPr>
  </w:style>
  <w:style w:type="character" w:styleId="FollowedHyperlink">
    <w:name w:val="FollowedHyperlink"/>
    <w:basedOn w:val="DefaultParagraphFont"/>
    <w:uiPriority w:val="99"/>
    <w:semiHidden/>
    <w:unhideWhenUsed/>
    <w:rsid w:val="0076279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3880">
      <w:bodyDiv w:val="1"/>
      <w:marLeft w:val="0"/>
      <w:marRight w:val="0"/>
      <w:marTop w:val="0"/>
      <w:marBottom w:val="0"/>
      <w:divBdr>
        <w:top w:val="none" w:sz="0" w:space="0" w:color="auto"/>
        <w:left w:val="none" w:sz="0" w:space="0" w:color="auto"/>
        <w:bottom w:val="none" w:sz="0" w:space="0" w:color="auto"/>
        <w:right w:val="none" w:sz="0" w:space="0" w:color="auto"/>
      </w:divBdr>
    </w:div>
    <w:div w:id="393698241">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75630342">
      <w:bodyDiv w:val="1"/>
      <w:marLeft w:val="0"/>
      <w:marRight w:val="0"/>
      <w:marTop w:val="0"/>
      <w:marBottom w:val="0"/>
      <w:divBdr>
        <w:top w:val="none" w:sz="0" w:space="0" w:color="auto"/>
        <w:left w:val="none" w:sz="0" w:space="0" w:color="auto"/>
        <w:bottom w:val="none" w:sz="0" w:space="0" w:color="auto"/>
        <w:right w:val="none" w:sz="0" w:space="0" w:color="auto"/>
      </w:divBdr>
    </w:div>
    <w:div w:id="655911998">
      <w:bodyDiv w:val="1"/>
      <w:marLeft w:val="0"/>
      <w:marRight w:val="0"/>
      <w:marTop w:val="0"/>
      <w:marBottom w:val="0"/>
      <w:divBdr>
        <w:top w:val="none" w:sz="0" w:space="0" w:color="auto"/>
        <w:left w:val="none" w:sz="0" w:space="0" w:color="auto"/>
        <w:bottom w:val="none" w:sz="0" w:space="0" w:color="auto"/>
        <w:right w:val="none" w:sz="0" w:space="0" w:color="auto"/>
      </w:divBdr>
    </w:div>
    <w:div w:id="659892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urnalofaccountancy.com/news/2019/oct/fasb-delays-effective-dates-leases-credit-losses-hedging-insurance-201922270.html" TargetMode="External"/><Relationship Id="rId18" Type="http://schemas.openxmlformats.org/officeDocument/2006/relationships/hyperlink" Target="https://www.aicpa.org/content/dam/aicpa/research/standards/auditattest/downloadabledocuments/sas-135.pdf" TargetMode="External"/><Relationship Id="rId26" Type="http://schemas.openxmlformats.org/officeDocument/2006/relationships/hyperlink" Target="https://www.aicpa.org/content/dam/aicpa/interestareas/professionalethics/community/exposuredrafts/downloadabledocuments/2019/2019-august-official-release-slg.pdf" TargetMode="External"/><Relationship Id="rId39" Type="http://schemas.openxmlformats.org/officeDocument/2006/relationships/hyperlink" Target="https://blog.aicpa.org/2019/09/advice-from-a-peer-reviewer-documentation-missteps-to-avoid.html" TargetMode="External"/><Relationship Id="rId3" Type="http://schemas.openxmlformats.org/officeDocument/2006/relationships/customXml" Target="../customXml/item3.xml"/><Relationship Id="rId21" Type="http://schemas.openxmlformats.org/officeDocument/2006/relationships/hyperlink" Target="https://www.aicpa.org/content/dam/aicpa/interestareas/professionalethics/community/exposuredrafts/downloadabledocuments/2017/2017AugustOfficialRelease.pdf" TargetMode="External"/><Relationship Id="rId34" Type="http://schemas.openxmlformats.org/officeDocument/2006/relationships/hyperlink" Target="https://www.aicpa.org/interestareas/frc/assuranceadvisoryservices/sorhome.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icpa.org/content/dam/aicpa/interestareas/peerreview/community/peerreviewboard/meetingminutes/downloadabledocuments/20191024-prb-open-materials.pdf" TargetMode="External"/><Relationship Id="rId17" Type="http://schemas.openxmlformats.org/officeDocument/2006/relationships/hyperlink" Target="https://www.aicpa.org/interestareas/frc/auditattest/auditing-standards-information-and-resources.html" TargetMode="External"/><Relationship Id="rId25" Type="http://schemas.openxmlformats.org/officeDocument/2006/relationships/hyperlink" Target="https://www.aicpa.org/content/aicpa/interestareas/professionalethics/ethically-speaking/ep-4-hosting-services-more-of-your-questions-answered.html" TargetMode="External"/><Relationship Id="rId33" Type="http://schemas.openxmlformats.org/officeDocument/2006/relationships/hyperlink" Target="https://www.aicpa.org/content/dam/aicpa/interestareas/frc/assuranceadvisoryservices/downloadabledocuments/soc-peer-review-findings.pdf" TargetMode="External"/><Relationship Id="rId38" Type="http://schemas.openxmlformats.org/officeDocument/2006/relationships/hyperlink" Target="https://www.aicpa.org/eaq/peer-review-documentation-resources.html" TargetMode="External"/><Relationship Id="rId2" Type="http://schemas.openxmlformats.org/officeDocument/2006/relationships/customXml" Target="../customXml/item2.xml"/><Relationship Id="rId16" Type="http://schemas.openxmlformats.org/officeDocument/2006/relationships/hyperlink" Target="https://nam05.safelinks.protection.outlook.com/?url=https%3A%2F%2Fclick.e2.aicpa.org%2F%3Fqs%3D19d72ce47350e45ab66cf609cc0c4c0b640ea4f81a2e3f32f5c39ef1352505bf3d8e682d437528a483be413ec240e1d20b1c227684453b0e&amp;data=02%7C01%7CLaVonne.Montague%40aicpa-cima.com%7C3dc50d1db9ff48c3403708d75665dee7%7Cab44e261e3294327bbdd17a5478226a1%7C1%7C0%7C637072867848915967&amp;sdata=8UFGJPpWewu5q7uj9ivNv%2BhpOSsxpebSUDPxwIhPEeo%3D&amp;reserved=0" TargetMode="External"/><Relationship Id="rId20" Type="http://schemas.openxmlformats.org/officeDocument/2006/relationships/hyperlink" Target="https://www.aicpa.org/content/dam/aicpa/research/standards/auditattest/downloadabledocuments/sas-137.pdf" TargetMode="External"/><Relationship Id="rId29" Type="http://schemas.openxmlformats.org/officeDocument/2006/relationships/hyperlink" Target="https://www.aicpa.org/eaq/aicpa-risk-assessment-resources.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icpa.org/content/aicpa/interestareas/professionalethics/ethically-speaking/ep-3-hosting-services-what-you-need-to-know-now.html" TargetMode="External"/><Relationship Id="rId32" Type="http://schemas.openxmlformats.org/officeDocument/2006/relationships/hyperlink" Target="https://www.aicpa.org/eaq/internal-control-resources.html" TargetMode="External"/><Relationship Id="rId37" Type="http://schemas.openxmlformats.org/officeDocument/2006/relationships/hyperlink" Target="https://www.aicpa.org/interestareas/frc/accountingfinancialreporting/revenuerecognition.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am05.safelinks.protection.outlook.com/?url=https%3A%2F%2Fclick.e2.aicpa.org%2F%3Fqs%3D19d72ce47350e45a7bd374126a4be38e9c34dbd3ad2e69bd69b5c77fd637d74df043eed224abb08eb05fe9010a87f231f54f5a4fbd1b5052&amp;data=02%7C01%7CLaVonne.Montague%40aicpa-cima.com%7C3dc50d1db9ff48c3403708d75665dee7%7Cab44e261e3294327bbdd17a5478226a1%7C1%7C0%7C637072867848905976&amp;sdata=BykLIqP1OHitwD9rnWa4t%2BrvYwsup2tsjQDb5hzQxVM%3D&amp;reserved=0" TargetMode="External"/><Relationship Id="rId23" Type="http://schemas.openxmlformats.org/officeDocument/2006/relationships/hyperlink" Target="https://blog.aicpa.org/2019/06/3-faqs-on-the-hosting-services-ethics-interpretation.html" TargetMode="External"/><Relationship Id="rId28" Type="http://schemas.openxmlformats.org/officeDocument/2006/relationships/hyperlink" Target="https://www.aicpa.org/eaq" TargetMode="External"/><Relationship Id="rId36" Type="http://schemas.openxmlformats.org/officeDocument/2006/relationships/hyperlink" Target="https://www.aicpa.org/signin.html?returnTo=/content/dam/aicpa/interestareas/centerforplainenglishaccounting/resources/2019/complying-w-revenue-standards-cathy-allen.pdf%3FcontentType%3Dsecured" TargetMode="External"/><Relationship Id="rId10" Type="http://schemas.openxmlformats.org/officeDocument/2006/relationships/endnotes" Target="endnotes.xml"/><Relationship Id="rId19" Type="http://schemas.openxmlformats.org/officeDocument/2006/relationships/hyperlink" Target="https://www.aicpa.org/content/dam/aicpa/research/standards/auditattest/downloadabledocuments/sas-136.pdf"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5.safelinks.protection.outlook.com/?url=https%3A%2F%2Fclick.e2.aicpa.org%2F%3Fqs%3D19d72ce47350e45aba9044df39412a31fc8e96a65eb22101f2c9187d5335280baea22855aee0714455bb6f631489f5bd6447797070fa5fd4&amp;data=02%7C01%7CLaVonne.Montague%40aicpa-cima.com%7C3dc50d1db9ff48c3403708d75665dee7%7Cab44e261e3294327bbdd17a5478226a1%7C1%7C0%7C637072867848905976&amp;sdata=Qxw4iodiqP%2F0BGFI4QOJm6a54CVdOA7x8ymDPy0hWMQ%3D&amp;reserved=0" TargetMode="External"/><Relationship Id="rId22" Type="http://schemas.openxmlformats.org/officeDocument/2006/relationships/hyperlink" Target="https://www.aicpa.org/content/dam/aicpa/interestareas/professionalethics/resources/tools/downloadabledocuments/2019nonattestservicesfaq.pdf" TargetMode="External"/><Relationship Id="rId27" Type="http://schemas.openxmlformats.org/officeDocument/2006/relationships/hyperlink" Target="https://www.aicpa.org/content/dam/aicpa/interestareas/professionalethics/community/exposuredrafts/downloadabledocuments/2019/2019-august-official-release-info-system-services.pdf" TargetMode="External"/><Relationship Id="rId30" Type="http://schemas.openxmlformats.org/officeDocument/2006/relationships/hyperlink" Target="https://www.aicpa.org/news/aicpatv.6095051222001.html/p/3891251960001/c/Accounting-and-Auditing/s/Webcast-Archives/" TargetMode="External"/><Relationship Id="rId35" Type="http://schemas.openxmlformats.org/officeDocument/2006/relationships/hyperlink" Target="https://www.aicpa.org/interestareas/privatecompaniespracticesection/qualityservicesdelivery/keepingup/breaking-down-revenue-recognition.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r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73FE1C06312449A97DFD469CFCC02" ma:contentTypeVersion="15" ma:contentTypeDescription="Create a new document." ma:contentTypeScope="" ma:versionID="f8a3c8cabcf8ade8ed73e7bfe5dcd81b">
  <xsd:schema xmlns:xsd="http://www.w3.org/2001/XMLSchema" xmlns:xs="http://www.w3.org/2001/XMLSchema" xmlns:p="http://schemas.microsoft.com/office/2006/metadata/properties" xmlns:ns1="http://schemas.microsoft.com/sharepoint/v3" xmlns:ns3="f9b62a37-1f7c-48b9-9c69-c47b4d7078e8" xmlns:ns4="4f15992d-aa8e-4451-954e-f8683e152c4a" targetNamespace="http://schemas.microsoft.com/office/2006/metadata/properties" ma:root="true" ma:fieldsID="f1ad2d4f96a195940e1a142bdd247b76" ns1:_="" ns3:_="" ns4:_="">
    <xsd:import namespace="http://schemas.microsoft.com/sharepoint/v3"/>
    <xsd:import namespace="f9b62a37-1f7c-48b9-9c69-c47b4d7078e8"/>
    <xsd:import namespace="4f15992d-aa8e-4451-954e-f8683e152c4a"/>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62a37-1f7c-48b9-9c69-c47b4d7078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15992d-aa8e-4451-954e-f8683e152c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f15992d-aa8e-4451-954e-f8683e152c4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EB6E5-3C87-4BAC-BFCC-59F07BA9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b62a37-1f7c-48b9-9c69-c47b4d7078e8"/>
    <ds:schemaRef ds:uri="4f15992d-aa8e-4451-954e-f8683e15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23A9-56A6-47D9-9F3B-BB28FB5F1650}">
  <ds:schemaRefs>
    <ds:schemaRef ds:uri="http://schemas.microsoft.com/office/2006/documentManagement/types"/>
    <ds:schemaRef ds:uri="http://www.w3.org/XML/1998/namespace"/>
    <ds:schemaRef ds:uri="http://purl.org/dc/elements/1.1/"/>
    <ds:schemaRef ds:uri="http://purl.org/dc/dcmitype/"/>
    <ds:schemaRef ds:uri="http://purl.org/dc/terms/"/>
    <ds:schemaRef ds:uri="4f15992d-aa8e-4451-954e-f8683e152c4a"/>
    <ds:schemaRef ds:uri="http://schemas.microsoft.com/office/infopath/2007/PartnerControls"/>
    <ds:schemaRef ds:uri="http://schemas.openxmlformats.org/package/2006/metadata/core-properties"/>
    <ds:schemaRef ds:uri="f9b62a37-1f7c-48b9-9c69-c47b4d7078e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AFC48EFB-1EEF-4E4B-A127-B223BFE5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4</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2021-10-26T17:13:00Z</dcterms:created>
  <dcterms:modified xsi:type="dcterms:W3CDTF">2021-10-26T17:13:00Z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0x01010033273FE1C06312449A97DFD469CFCC02</vt:lpwstr>
  </property>
</Properties>
</file>