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3AE7" w14:textId="23A5CA51" w:rsidR="005D3AB9" w:rsidRPr="009737BF" w:rsidRDefault="005D3AB9" w:rsidP="005D3A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37BF">
        <w:rPr>
          <w:rFonts w:ascii="Times New Roman" w:hAnsi="Times New Roman"/>
          <w:b/>
          <w:sz w:val="24"/>
          <w:szCs w:val="24"/>
        </w:rPr>
        <w:t>AICPA Stockbrokerage and Investment Banking Expert Panel</w:t>
      </w:r>
    </w:p>
    <w:p w14:paraId="72169A50" w14:textId="223F7FD3" w:rsidR="005D3AB9" w:rsidRPr="009737BF" w:rsidRDefault="005D3AB9" w:rsidP="005D3A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37BF">
        <w:rPr>
          <w:rFonts w:ascii="Times New Roman" w:hAnsi="Times New Roman"/>
          <w:b/>
          <w:sz w:val="24"/>
          <w:szCs w:val="24"/>
        </w:rPr>
        <w:t xml:space="preserve">March 3, 2022, meeting highlights </w:t>
      </w:r>
    </w:p>
    <w:p w14:paraId="47C2EE5F" w14:textId="4A5D485F" w:rsidR="005D3AB9" w:rsidRPr="009737BF" w:rsidRDefault="005D3AB9" w:rsidP="00EB4209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C0339D" w14:textId="72086977" w:rsidR="00EB4209" w:rsidRPr="009737BF" w:rsidRDefault="00EB4209" w:rsidP="005D3A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37BF">
        <w:rPr>
          <w:rFonts w:ascii="Times New Roman" w:hAnsi="Times New Roman"/>
          <w:b/>
          <w:bCs/>
          <w:sz w:val="24"/>
          <w:szCs w:val="24"/>
        </w:rPr>
        <w:t>Disclaimer</w:t>
      </w:r>
    </w:p>
    <w:p w14:paraId="5F88FFA0" w14:textId="64227AC2" w:rsidR="00EB4209" w:rsidRPr="009737BF" w:rsidRDefault="00EB4209" w:rsidP="005D3A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37BF">
        <w:rPr>
          <w:rFonts w:ascii="Times New Roman" w:hAnsi="Times New Roman"/>
          <w:b/>
          <w:bCs/>
          <w:sz w:val="24"/>
          <w:szCs w:val="24"/>
        </w:rPr>
        <w:t>The following comments and observations were compiled by the AICPA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 xml:space="preserve"> Stockbrokerage and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Investment 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Banking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Expert Panel and AICPA staff and are not authoritative positions or interpretations issued by the SEC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, FINRA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their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staff. The comments and observations were not transcribed by the SEC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 xml:space="preserve"> or FINRA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their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staff and have not been considered or acted upon by the SEC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 xml:space="preserve"> or FINRA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their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staff. Accordingly, these comments and observations do not constitute a statement of the views of the SEC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, FINRA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="005D3AB9" w:rsidRPr="009737BF">
        <w:rPr>
          <w:rFonts w:ascii="Times New Roman" w:hAnsi="Times New Roman"/>
          <w:b/>
          <w:bCs/>
          <w:sz w:val="24"/>
          <w:szCs w:val="24"/>
        </w:rPr>
        <w:t>their</w:t>
      </w:r>
      <w:r w:rsidRPr="009737BF">
        <w:rPr>
          <w:rFonts w:ascii="Times New Roman" w:hAnsi="Times New Roman"/>
          <w:b/>
          <w:bCs/>
          <w:sz w:val="24"/>
          <w:szCs w:val="24"/>
        </w:rPr>
        <w:t xml:space="preserve"> staff.</w:t>
      </w:r>
    </w:p>
    <w:p w14:paraId="12CD76D2" w14:textId="77777777" w:rsidR="005D3AB9" w:rsidRPr="009737BF" w:rsidRDefault="005D3AB9" w:rsidP="00416C7F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</w:p>
    <w:p w14:paraId="587230B7" w14:textId="76396465" w:rsidR="00EA3465" w:rsidRPr="009737BF" w:rsidRDefault="00416C7F" w:rsidP="00416C7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During </w:t>
      </w:r>
      <w:r w:rsidR="00554A04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</w:t>
      </w:r>
      <w:r w:rsidR="00EA3465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March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202</w:t>
      </w:r>
      <w:r w:rsidR="00EA3465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EP meeting, the Expert Panel members discussed certain considerations related to fractional share transactions with customers.</w:t>
      </w:r>
      <w:r w:rsidR="00554A04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Some broker-dealers offer their customers the ability to invest in fractions of shares. In these cases, the customer </w:t>
      </w:r>
      <w:r w:rsidR="000E27D5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has the option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invest a specific dollar amount in a particular investment, as opposed to acquiring a specified number of shares.</w:t>
      </w:r>
    </w:p>
    <w:p w14:paraId="756706BC" w14:textId="15F38B85" w:rsidR="00554A04" w:rsidRPr="009737BF" w:rsidRDefault="00EA3465" w:rsidP="00EA346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There </w:t>
      </w:r>
      <w:r w:rsidR="00554A04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have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been ongoing 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discuss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ions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among industry participants, SIFMA sub-committees, and accounting firms</w:t>
      </w:r>
      <w:r w:rsidR="00554A04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as well as </w:t>
      </w:r>
      <w:r w:rsidR="00601AF7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staff </w:t>
      </w:r>
      <w:r w:rsidR="00554A04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of the SEC’s Division of Trading and Markets and leadership from FINRA regarding potential accounting and regulatory implications related to these fractional share programs.</w:t>
      </w:r>
    </w:p>
    <w:p w14:paraId="0187DC1B" w14:textId="0BAB95E0" w:rsidR="00416C7F" w:rsidRPr="009737BF" w:rsidRDefault="00554A04" w:rsidP="00416C7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Accounting implications include whether the broker-dealer is acting as a principal </w:t>
      </w:r>
      <w:r w:rsidR="000451F0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rather than</w:t>
      </w:r>
      <w:r w:rsidR="00F247FB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</w:t>
      </w:r>
      <w:r w:rsidR="000A668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agent</w:t>
      </w:r>
      <w:r w:rsidR="00601AF7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 the transaction and</w:t>
      </w:r>
      <w:r w:rsidR="000451F0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if deemed to be acting as principal,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</w:t>
      </w:r>
      <w:r w:rsidR="000A668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corresponding potential 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impact of Accounting Standards Codification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(ASC) 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Topic 860, </w:t>
      </w:r>
      <w:r w:rsidR="00416C7F" w:rsidRPr="009737BF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Transfers and Servicing</w:t>
      </w:r>
      <w:r w:rsidR="0096563E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0A668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 a result of offering fractional share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transactions </w:t>
      </w:r>
      <w:r w:rsidR="000A668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3161A1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</w:t>
      </w:r>
      <w:r w:rsidR="000A668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customers.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451F0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If acting as principal, t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he accounting analysis may cause the broker-dealer to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ecord financial assets for the fractional shares held by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its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customers (the “financial assets”) and corresponding financial liabilities which represent secured borrowings</w:t>
      </w:r>
      <w:r w:rsidR="00456F9E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(the “financial liabilities”)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where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the criteria for derecognition is not met under </w:t>
      </w:r>
      <w:bookmarkStart w:id="0" w:name="_Hlk93579109"/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ASC 860</w:t>
      </w:r>
      <w:bookmarkEnd w:id="0"/>
      <w:r w:rsidR="00456F9E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16C7F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D62B1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broker-dealer may also need to consider whether or not </w:t>
      </w:r>
      <w:r w:rsidR="00F26F0B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income statement accounts are impacted </w:t>
      </w:r>
      <w:r w:rsidR="00EB28C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based on the </w:t>
      </w:r>
      <w:r w:rsidR="0031385A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accounting </w:t>
      </w:r>
      <w:r w:rsidR="00EB28C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conclusions reached.</w:t>
      </w:r>
    </w:p>
    <w:p w14:paraId="68F1ECC2" w14:textId="01C29984" w:rsidR="005111E6" w:rsidRPr="009737BF" w:rsidRDefault="005111E6" w:rsidP="00416C7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 w:rsidR="0045749E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most recent</w:t>
      </w:r>
      <w:r w:rsidR="0078483C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ly discussed at the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AICPA &amp; SIFMA National Conference on the Securities Industry in November 2021, </w:t>
      </w:r>
      <w:r w:rsidR="00601AF7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taff from the SEC’s Division of Trading and Markets and leadership from FINRA both </w:t>
      </w:r>
      <w:r w:rsidR="00451D5A"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continue to </w:t>
      </w: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indicate that they do not expect the accounting treatment discussed above to have an impact on the net capital computation or the reserve formula, as long as the broker-dealer carries the long position and maintains possession or control of the shares purchased for its customers.  </w:t>
      </w:r>
    </w:p>
    <w:p w14:paraId="3EAA7955" w14:textId="0031E32B" w:rsidR="000A668C" w:rsidRPr="005D3AB9" w:rsidRDefault="000A668C" w:rsidP="00416C7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37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Broker-dealers offering fractional share transactions to their customers should discuss their program with their independent auditors.</w:t>
      </w:r>
    </w:p>
    <w:sectPr w:rsidR="000A668C" w:rsidRPr="005D3A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CA63" w14:textId="77777777" w:rsidR="002F2FEB" w:rsidRDefault="002F2FEB" w:rsidP="00163030">
      <w:pPr>
        <w:spacing w:after="0" w:line="240" w:lineRule="auto"/>
      </w:pPr>
      <w:r>
        <w:separator/>
      </w:r>
    </w:p>
  </w:endnote>
  <w:endnote w:type="continuationSeparator" w:id="0">
    <w:p w14:paraId="092F825A" w14:textId="77777777" w:rsidR="002F2FEB" w:rsidRDefault="002F2FEB" w:rsidP="00163030">
      <w:pPr>
        <w:spacing w:after="0" w:line="240" w:lineRule="auto"/>
      </w:pPr>
      <w:r>
        <w:continuationSeparator/>
      </w:r>
    </w:p>
  </w:endnote>
  <w:endnote w:type="continuationNotice" w:id="1">
    <w:p w14:paraId="20764F35" w14:textId="77777777" w:rsidR="002F2FEB" w:rsidRDefault="002F2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D561" w14:textId="77777777" w:rsidR="00601AF7" w:rsidRDefault="00601AF7" w:rsidP="0018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F982" w14:textId="77777777" w:rsidR="002F2FEB" w:rsidRDefault="002F2FEB" w:rsidP="00163030">
      <w:pPr>
        <w:spacing w:after="0" w:line="240" w:lineRule="auto"/>
      </w:pPr>
      <w:r>
        <w:separator/>
      </w:r>
    </w:p>
  </w:footnote>
  <w:footnote w:type="continuationSeparator" w:id="0">
    <w:p w14:paraId="02D2C70A" w14:textId="77777777" w:rsidR="002F2FEB" w:rsidRDefault="002F2FEB" w:rsidP="00163030">
      <w:pPr>
        <w:spacing w:after="0" w:line="240" w:lineRule="auto"/>
      </w:pPr>
      <w:r>
        <w:continuationSeparator/>
      </w:r>
    </w:p>
  </w:footnote>
  <w:footnote w:type="continuationNotice" w:id="1">
    <w:p w14:paraId="558B887F" w14:textId="77777777" w:rsidR="002F2FEB" w:rsidRDefault="002F2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2F9F" w14:textId="77777777" w:rsidR="00601AF7" w:rsidRDefault="00601AF7" w:rsidP="00184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14E0E"/>
    <w:multiLevelType w:val="hybridMultilevel"/>
    <w:tmpl w:val="864C9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34D6A"/>
    <w:multiLevelType w:val="hybridMultilevel"/>
    <w:tmpl w:val="A25A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F"/>
    <w:rsid w:val="000451F0"/>
    <w:rsid w:val="00080AEC"/>
    <w:rsid w:val="000A668C"/>
    <w:rsid w:val="000E27D5"/>
    <w:rsid w:val="00134CEC"/>
    <w:rsid w:val="00163030"/>
    <w:rsid w:val="00184E71"/>
    <w:rsid w:val="002539DC"/>
    <w:rsid w:val="002F2FEB"/>
    <w:rsid w:val="0031385A"/>
    <w:rsid w:val="003161A1"/>
    <w:rsid w:val="004127FF"/>
    <w:rsid w:val="00416C7F"/>
    <w:rsid w:val="00451D5A"/>
    <w:rsid w:val="00456F9E"/>
    <w:rsid w:val="0045749E"/>
    <w:rsid w:val="004B1376"/>
    <w:rsid w:val="005111E6"/>
    <w:rsid w:val="00543FFA"/>
    <w:rsid w:val="00554A04"/>
    <w:rsid w:val="005879C9"/>
    <w:rsid w:val="005D3AB9"/>
    <w:rsid w:val="00601AF7"/>
    <w:rsid w:val="00635B62"/>
    <w:rsid w:val="0078483C"/>
    <w:rsid w:val="00854949"/>
    <w:rsid w:val="0096563E"/>
    <w:rsid w:val="009737BF"/>
    <w:rsid w:val="009A1478"/>
    <w:rsid w:val="00B4404A"/>
    <w:rsid w:val="00B5446A"/>
    <w:rsid w:val="00BD62B1"/>
    <w:rsid w:val="00CE142D"/>
    <w:rsid w:val="00DB18A3"/>
    <w:rsid w:val="00DE70BD"/>
    <w:rsid w:val="00E30921"/>
    <w:rsid w:val="00EA3465"/>
    <w:rsid w:val="00EB28CC"/>
    <w:rsid w:val="00EB4209"/>
    <w:rsid w:val="00EC5D82"/>
    <w:rsid w:val="00EF23D5"/>
    <w:rsid w:val="00EF7207"/>
    <w:rsid w:val="00EF7D4A"/>
    <w:rsid w:val="00F247FB"/>
    <w:rsid w:val="00F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1FD3BD"/>
  <w15:chartTrackingRefBased/>
  <w15:docId w15:val="{A49F8F01-AD49-4AC6-BA48-1616266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C7F"/>
    <w:rPr>
      <w:color w:val="0000FF"/>
      <w:u w:val="single"/>
    </w:rPr>
  </w:style>
  <w:style w:type="paragraph" w:styleId="ListParagraph">
    <w:name w:val="List Paragraph"/>
    <w:aliases w:val="Key Bullet,Issue Action POC,List Paragraph1,3,POCG Table Text,Dot pt,F5 List Paragraph,List Paragraph Char Char Char,Indicator Text,Colorful List - Accent 11,Numbered Para 1,Bullet 1,Bullet Points,List Paragraph2,MAIN CONTENT,Bullets,Bull"/>
    <w:basedOn w:val="Normal"/>
    <w:link w:val="ListParagraphChar"/>
    <w:uiPriority w:val="34"/>
    <w:qFormat/>
    <w:rsid w:val="00DE7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F7"/>
  </w:style>
  <w:style w:type="paragraph" w:styleId="Footer">
    <w:name w:val="footer"/>
    <w:basedOn w:val="Normal"/>
    <w:link w:val="FooterChar"/>
    <w:uiPriority w:val="99"/>
    <w:unhideWhenUsed/>
    <w:rsid w:val="0060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F7"/>
  </w:style>
  <w:style w:type="character" w:customStyle="1" w:styleId="ListParagraphChar">
    <w:name w:val="List Paragraph Char"/>
    <w:aliases w:val="Key Bullet Char,Issue Action POC Char,List Paragraph1 Char,3 Char,POCG Table Tex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EB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Beth</dc:creator>
  <cp:keywords/>
  <dc:description/>
  <cp:lastModifiedBy>Rachita Narain</cp:lastModifiedBy>
  <cp:revision>2</cp:revision>
  <dcterms:created xsi:type="dcterms:W3CDTF">2022-04-12T09:57:00Z</dcterms:created>
  <dcterms:modified xsi:type="dcterms:W3CDTF">2022-04-12T09:57:00Z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2022-01-20T18:48:36Z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efa05fcb-543a-4106-9d05-7be8a93c811c</vt:lpwstr>
  </property>
  <property fmtid="{D5CDD505-2E9C-101B-9397-08002B2CF9AE}" pid="8" name="MSIP_Label_ea60d57e-af5b-4752-ac57-3e4f28ca11dc_ContentBits">
    <vt:lpwstr>0</vt:lpwstr>
  </property>
  <property fmtid="{D5CDD505-2E9C-101B-9397-08002B2CF9AE}" pid="9" name="TitusGUID">
    <vt:lpwstr>a535a784-3206-4ad5-9742-64b731dbeadc</vt:lpwstr>
  </property>
  <property fmtid="{D5CDD505-2E9C-101B-9397-08002B2CF9AE}" pid="10" name="Classification">
    <vt:lpwstr>I</vt:lpwstr>
  </property>
</Properties>
</file>