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5D6E" w14:textId="15EC249A" w:rsidR="00651D6B" w:rsidRPr="00651D6B" w:rsidRDefault="00024977">
      <w:r>
        <w:t>December 2022</w:t>
      </w:r>
      <w:r w:rsidR="00356C74">
        <w:rPr>
          <w:noProof/>
        </w:rPr>
        <w:drawing>
          <wp:inline distT="0" distB="0" distL="0" distR="0" wp14:anchorId="4DEFEFFF" wp14:editId="08D6F191">
            <wp:extent cx="3639312" cy="185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9312" cy="1856232"/>
                    </a:xfrm>
                    <a:prstGeom prst="rect">
                      <a:avLst/>
                    </a:prstGeom>
                    <a:noFill/>
                    <a:ln>
                      <a:noFill/>
                    </a:ln>
                  </pic:spPr>
                </pic:pic>
              </a:graphicData>
            </a:graphic>
          </wp:inline>
        </w:drawing>
      </w:r>
    </w:p>
    <w:p w14:paraId="71169C9B" w14:textId="3AFF6BFA" w:rsidR="00651D6B" w:rsidRPr="00DD4A94" w:rsidRDefault="00651D6B" w:rsidP="00D551C2">
      <w:pPr>
        <w:ind w:right="1440"/>
        <w:jc w:val="both"/>
        <w:rPr>
          <w:rFonts w:ascii="Roboto" w:hAnsi="Roboto"/>
          <w:color w:val="000000"/>
          <w:sz w:val="24"/>
          <w:szCs w:val="24"/>
          <w:shd w:val="clear" w:color="auto" w:fill="FFFFFF"/>
        </w:rPr>
      </w:pPr>
      <w:r w:rsidRPr="00DD4A94">
        <w:rPr>
          <w:rFonts w:ascii="Roboto" w:hAnsi="Roboto"/>
          <w:color w:val="000000"/>
          <w:sz w:val="24"/>
          <w:szCs w:val="24"/>
          <w:shd w:val="clear" w:color="auto" w:fill="FFFFFF"/>
        </w:rPr>
        <w:t xml:space="preserve">The following table compiled by the AICPA Stockbrokerage and Investment Banking Expert Panel summarizes relevant </w:t>
      </w:r>
      <w:r w:rsidR="0022685F">
        <w:rPr>
          <w:rFonts w:ascii="Roboto" w:hAnsi="Roboto"/>
          <w:color w:val="000000"/>
          <w:sz w:val="24"/>
          <w:szCs w:val="24"/>
          <w:shd w:val="clear" w:color="auto" w:fill="FFFFFF"/>
        </w:rPr>
        <w:t xml:space="preserve">SEC </w:t>
      </w:r>
      <w:r w:rsidRPr="00DD4A94">
        <w:rPr>
          <w:rFonts w:ascii="Roboto" w:hAnsi="Roboto"/>
          <w:color w:val="000000"/>
          <w:sz w:val="24"/>
          <w:szCs w:val="24"/>
          <w:shd w:val="clear" w:color="auto" w:fill="FFFFFF"/>
        </w:rPr>
        <w:t xml:space="preserve">financial responsibility rules requirements and offers examples of related compliance risk considerations. This information will assist AICPA members in </w:t>
      </w:r>
      <w:r w:rsidR="00643CDF">
        <w:rPr>
          <w:rFonts w:ascii="Roboto" w:hAnsi="Roboto"/>
          <w:color w:val="000000"/>
          <w:sz w:val="24"/>
          <w:szCs w:val="24"/>
          <w:shd w:val="clear" w:color="auto" w:fill="FFFFFF"/>
        </w:rPr>
        <w:t xml:space="preserve">the </w:t>
      </w:r>
      <w:r w:rsidRPr="00DD4A94">
        <w:rPr>
          <w:rFonts w:ascii="Roboto" w:hAnsi="Roboto"/>
          <w:color w:val="000000"/>
          <w:sz w:val="24"/>
          <w:szCs w:val="24"/>
          <w:shd w:val="clear" w:color="auto" w:fill="FFFFFF"/>
        </w:rPr>
        <w:t>broker-dealer industry in identifying and considering potential compliance risks in connection with the SEC financial responsibilities rules. This list is non inclusive.</w:t>
      </w:r>
    </w:p>
    <w:tbl>
      <w:tblPr>
        <w:tblW w:w="9355" w:type="dxa"/>
        <w:tblCellMar>
          <w:left w:w="0" w:type="dxa"/>
          <w:right w:w="0" w:type="dxa"/>
        </w:tblCellMar>
        <w:tblLook w:val="04A0" w:firstRow="1" w:lastRow="0" w:firstColumn="1" w:lastColumn="0" w:noHBand="0" w:noVBand="1"/>
      </w:tblPr>
      <w:tblGrid>
        <w:gridCol w:w="3325"/>
        <w:gridCol w:w="3060"/>
        <w:gridCol w:w="2970"/>
      </w:tblGrid>
      <w:tr w:rsidR="00651D6B" w14:paraId="3B507A5B" w14:textId="77777777" w:rsidTr="00E26D05">
        <w:trPr>
          <w:trHeight w:val="520"/>
          <w:tblHeader/>
        </w:trPr>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46893" w14:textId="77777777" w:rsidR="00651D6B" w:rsidRDefault="00651D6B" w:rsidP="00E26D05">
            <w:pPr>
              <w:spacing w:line="240" w:lineRule="auto"/>
              <w:rPr>
                <w:b/>
                <w:bCs/>
              </w:rPr>
            </w:pPr>
            <w:r>
              <w:rPr>
                <w:b/>
                <w:bCs/>
              </w:rPr>
              <w:t>ICOC Rule Requirement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C734A" w14:textId="77777777" w:rsidR="00651D6B" w:rsidRDefault="00651D6B" w:rsidP="00E26D05">
            <w:pPr>
              <w:spacing w:line="240" w:lineRule="auto"/>
              <w:rPr>
                <w:b/>
                <w:bCs/>
              </w:rPr>
            </w:pPr>
            <w:r>
              <w:rPr>
                <w:b/>
                <w:bCs/>
              </w:rPr>
              <w:t>Rule References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FDE50" w14:textId="77777777" w:rsidR="00651D6B" w:rsidRDefault="00651D6B" w:rsidP="00E26D05">
            <w:pPr>
              <w:spacing w:line="240" w:lineRule="auto"/>
              <w:rPr>
                <w:b/>
                <w:bCs/>
              </w:rPr>
            </w:pPr>
            <w:r>
              <w:rPr>
                <w:b/>
                <w:bCs/>
              </w:rPr>
              <w:t>Illustrative compliance risk point</w:t>
            </w:r>
            <w:r>
              <w:rPr>
                <w:rStyle w:val="FootnoteReference"/>
                <w:b/>
                <w:bCs/>
              </w:rPr>
              <w:footnoteReference w:id="1"/>
            </w:r>
          </w:p>
        </w:tc>
      </w:tr>
      <w:tr w:rsidR="00651D6B" w14:paraId="623C18F6" w14:textId="77777777" w:rsidTr="00E26D05">
        <w:trPr>
          <w:tblHeader/>
        </w:trPr>
        <w:tc>
          <w:tcPr>
            <w:tcW w:w="93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2BFFD" w14:textId="77777777" w:rsidR="00651D6B" w:rsidRDefault="00651D6B" w:rsidP="00E26D05">
            <w:pPr>
              <w:spacing w:line="240" w:lineRule="auto"/>
              <w:jc w:val="center"/>
              <w:rPr>
                <w:b/>
                <w:bCs/>
              </w:rPr>
            </w:pPr>
            <w:r w:rsidRPr="00152CCA">
              <w:rPr>
                <w:rFonts w:eastAsia="Times New Roman"/>
                <w:b/>
                <w:bCs/>
              </w:rPr>
              <w:t>Net Capital Requirements</w:t>
            </w:r>
          </w:p>
        </w:tc>
      </w:tr>
    </w:tbl>
    <w:tbl>
      <w:tblPr>
        <w:tblStyle w:val="TableGrid"/>
        <w:tblW w:w="9355" w:type="dxa"/>
        <w:tblLook w:val="04A0" w:firstRow="1" w:lastRow="0" w:firstColumn="1" w:lastColumn="0" w:noHBand="0" w:noVBand="1"/>
      </w:tblPr>
      <w:tblGrid>
        <w:gridCol w:w="3325"/>
        <w:gridCol w:w="3060"/>
        <w:gridCol w:w="2970"/>
      </w:tblGrid>
      <w:tr w:rsidR="00651D6B" w14:paraId="446DA842" w14:textId="77777777" w:rsidTr="00E26D05">
        <w:tc>
          <w:tcPr>
            <w:tcW w:w="3325" w:type="dxa"/>
            <w:shd w:val="clear" w:color="auto" w:fill="auto"/>
          </w:tcPr>
          <w:p w14:paraId="36967D38" w14:textId="77777777" w:rsidR="00651D6B" w:rsidRPr="00152CCA" w:rsidRDefault="00651D6B" w:rsidP="00E26D05">
            <w:pPr>
              <w:rPr>
                <w:rFonts w:cstheme="minorHAnsi"/>
                <w:color w:val="000000"/>
                <w:sz w:val="18"/>
                <w:szCs w:val="18"/>
              </w:rPr>
            </w:pPr>
            <w:r w:rsidRPr="00152CCA">
              <w:rPr>
                <w:rStyle w:val="paragraph100"/>
                <w:rFonts w:asciiTheme="minorHAnsi" w:eastAsia="Times New Roman" w:hAnsiTheme="minorHAnsi" w:cstheme="minorHAnsi"/>
                <w:sz w:val="18"/>
                <w:szCs w:val="18"/>
                <w:specVanish w:val="0"/>
              </w:rPr>
              <w:t>A broker-dealer is required to establish a minimum net capital on the basis of the greater of either (</w:t>
            </w:r>
            <w:r w:rsidRPr="00152CCA">
              <w:rPr>
                <w:rStyle w:val="paragraph100"/>
                <w:rFonts w:asciiTheme="minorHAnsi" w:eastAsia="Times New Roman" w:hAnsiTheme="minorHAnsi" w:cstheme="minorHAnsi"/>
                <w:i/>
                <w:iCs/>
                <w:sz w:val="18"/>
                <w:szCs w:val="18"/>
                <w:specVanish w:val="0"/>
              </w:rPr>
              <w:t>a</w:t>
            </w:r>
            <w:r w:rsidRPr="00152CCA">
              <w:rPr>
                <w:rStyle w:val="paragraph100"/>
                <w:rFonts w:asciiTheme="minorHAnsi" w:eastAsia="Times New Roman" w:hAnsiTheme="minorHAnsi" w:cstheme="minorHAnsi"/>
                <w:sz w:val="18"/>
                <w:szCs w:val="18"/>
                <w:specVanish w:val="0"/>
              </w:rPr>
              <w:t>) the amount of the broker-dealer’s aggregate indebtedness (that is, the broker-dealer's obligations payable in cash, with limited exceptions) or (</w:t>
            </w:r>
            <w:r w:rsidRPr="00152CCA">
              <w:rPr>
                <w:rStyle w:val="paragraph100"/>
                <w:rFonts w:asciiTheme="minorHAnsi" w:eastAsia="Times New Roman" w:hAnsiTheme="minorHAnsi" w:cstheme="minorHAnsi"/>
                <w:i/>
                <w:iCs/>
                <w:sz w:val="18"/>
                <w:szCs w:val="18"/>
                <w:specVanish w:val="0"/>
              </w:rPr>
              <w:t>b</w:t>
            </w:r>
            <w:r w:rsidRPr="00152CCA">
              <w:rPr>
                <w:rStyle w:val="paragraph100"/>
                <w:rFonts w:asciiTheme="minorHAnsi" w:eastAsia="Times New Roman" w:hAnsiTheme="minorHAnsi" w:cstheme="minorHAnsi"/>
                <w:sz w:val="18"/>
                <w:szCs w:val="18"/>
                <w:specVanish w:val="0"/>
              </w:rPr>
              <w:t>) the level of customer-related receivables (aggregate debit items) computed pursuant to SEC Rule 15c3-3 (the alternative standard), and a minimum amount based on the broker-dealer’s business activities</w:t>
            </w:r>
            <w:r w:rsidRPr="00152CCA">
              <w:rPr>
                <w:rFonts w:cstheme="minorHAnsi"/>
                <w:color w:val="000000"/>
                <w:sz w:val="18"/>
                <w:szCs w:val="18"/>
              </w:rPr>
              <w:t>.</w:t>
            </w:r>
          </w:p>
          <w:p w14:paraId="464E9DBE" w14:textId="77777777" w:rsidR="00651D6B" w:rsidRPr="00152CCA" w:rsidRDefault="00651D6B" w:rsidP="00E26D05">
            <w:pPr>
              <w:rPr>
                <w:rFonts w:ascii="Times New Roman" w:hAnsi="Times New Roman" w:cs="Times New Roman"/>
                <w:color w:val="000000"/>
                <w:sz w:val="23"/>
                <w:szCs w:val="23"/>
              </w:rPr>
            </w:pPr>
          </w:p>
          <w:p w14:paraId="5106580A" w14:textId="77777777" w:rsidR="00651D6B" w:rsidRPr="00152CCA" w:rsidRDefault="00651D6B" w:rsidP="00E26D05">
            <w:r w:rsidRPr="00152CCA">
              <w:rPr>
                <w:rFonts w:cstheme="minorHAnsi"/>
                <w:sz w:val="18"/>
                <w:szCs w:val="18"/>
              </w:rPr>
              <w:t>The minimum level of capital needs to be sufficient for the payments of (a) its obligations to customers and other broker-dealers and (b) compensation to employees retained to wind up the firm’s affairs in an event of liquidation.</w:t>
            </w:r>
          </w:p>
        </w:tc>
        <w:tc>
          <w:tcPr>
            <w:tcW w:w="3060" w:type="dxa"/>
            <w:shd w:val="clear" w:color="auto" w:fill="auto"/>
          </w:tcPr>
          <w:p w14:paraId="7B6C658D" w14:textId="77777777" w:rsidR="00651D6B" w:rsidRPr="00152CCA" w:rsidRDefault="00651D6B" w:rsidP="00E26D05">
            <w:pPr>
              <w:pStyle w:val="Default"/>
              <w:rPr>
                <w:rFonts w:asciiTheme="minorHAnsi" w:hAnsiTheme="minorHAnsi" w:cstheme="minorHAnsi"/>
                <w:b/>
                <w:bCs/>
                <w:i/>
                <w:iCs/>
                <w:sz w:val="20"/>
                <w:szCs w:val="20"/>
              </w:rPr>
            </w:pPr>
            <w:r w:rsidRPr="00152CCA">
              <w:rPr>
                <w:rFonts w:asciiTheme="minorHAnsi" w:hAnsiTheme="minorHAnsi" w:cstheme="minorHAnsi"/>
                <w:b/>
                <w:bCs/>
                <w:i/>
                <w:iCs/>
                <w:sz w:val="20"/>
                <w:szCs w:val="20"/>
              </w:rPr>
              <w:t>15c3-1 (a), Net Capital Requirements for Brokers or Dealers, and related interpretations</w:t>
            </w:r>
          </w:p>
          <w:p w14:paraId="0880BDF9" w14:textId="77777777" w:rsidR="00651D6B" w:rsidRPr="00152CCA" w:rsidRDefault="00651D6B" w:rsidP="00E26D05">
            <w:pPr>
              <w:rPr>
                <w:rFonts w:cstheme="minorHAnsi"/>
                <w:i/>
                <w:iCs/>
                <w:sz w:val="16"/>
                <w:szCs w:val="16"/>
                <w:u w:val="single"/>
              </w:rPr>
            </w:pPr>
          </w:p>
          <w:p w14:paraId="4E04B4BA" w14:textId="77777777" w:rsidR="00651D6B" w:rsidRPr="00152CCA" w:rsidRDefault="00651D6B" w:rsidP="00E26D05">
            <w:pPr>
              <w:rPr>
                <w:rFonts w:cstheme="minorHAnsi"/>
                <w:i/>
                <w:iCs/>
                <w:sz w:val="16"/>
                <w:szCs w:val="16"/>
                <w:u w:val="single"/>
              </w:rPr>
            </w:pPr>
            <w:r w:rsidRPr="00152CCA">
              <w:rPr>
                <w:rFonts w:cstheme="minorHAnsi"/>
                <w:i/>
                <w:iCs/>
                <w:sz w:val="16"/>
                <w:szCs w:val="16"/>
                <w:u w:val="single"/>
              </w:rPr>
              <w:t>001 Moment to Moment Net Capital</w:t>
            </w:r>
          </w:p>
          <w:p w14:paraId="2596110C" w14:textId="77777777" w:rsidR="00651D6B" w:rsidRPr="00152CCA" w:rsidRDefault="00651D6B" w:rsidP="00E26D05">
            <w:pPr>
              <w:rPr>
                <w:rFonts w:cstheme="minorHAnsi"/>
                <w:i/>
                <w:iCs/>
                <w:sz w:val="16"/>
                <w:szCs w:val="16"/>
                <w:u w:val="single"/>
              </w:rPr>
            </w:pPr>
          </w:p>
          <w:p w14:paraId="0918CC29" w14:textId="77777777" w:rsidR="00651D6B" w:rsidRPr="00152CCA" w:rsidRDefault="00651D6B" w:rsidP="00E26D05">
            <w:pPr>
              <w:autoSpaceDE w:val="0"/>
              <w:autoSpaceDN w:val="0"/>
              <w:adjustRightInd w:val="0"/>
              <w:rPr>
                <w:rFonts w:cstheme="minorHAnsi"/>
                <w:b/>
                <w:bCs/>
                <w:i/>
                <w:iCs/>
                <w:sz w:val="16"/>
                <w:szCs w:val="16"/>
                <w:u w:val="single"/>
              </w:rPr>
            </w:pPr>
            <w:r w:rsidRPr="00152CCA">
              <w:rPr>
                <w:rFonts w:cstheme="minorHAnsi"/>
                <w:b/>
                <w:bCs/>
                <w:i/>
                <w:iCs/>
                <w:sz w:val="16"/>
                <w:szCs w:val="16"/>
                <w:u w:val="single"/>
              </w:rPr>
              <w:t>(a)(1)(i) AGGREGATE INDEBTEDNESS STANDARD</w:t>
            </w:r>
          </w:p>
          <w:p w14:paraId="175CE95C" w14:textId="77777777" w:rsidR="00651D6B" w:rsidRPr="00152CCA" w:rsidRDefault="00651D6B" w:rsidP="00E26D05">
            <w:pPr>
              <w:autoSpaceDE w:val="0"/>
              <w:autoSpaceDN w:val="0"/>
              <w:adjustRightInd w:val="0"/>
            </w:pPr>
          </w:p>
          <w:p w14:paraId="62712531" w14:textId="77777777" w:rsidR="00651D6B" w:rsidRPr="00152CCA" w:rsidRDefault="00651D6B" w:rsidP="00E26D05">
            <w:pPr>
              <w:autoSpaceDE w:val="0"/>
              <w:autoSpaceDN w:val="0"/>
              <w:adjustRightInd w:val="0"/>
              <w:rPr>
                <w:rFonts w:cstheme="minorHAnsi"/>
                <w:b/>
                <w:bCs/>
                <w:i/>
                <w:iCs/>
                <w:sz w:val="16"/>
                <w:szCs w:val="16"/>
              </w:rPr>
            </w:pPr>
            <w:r w:rsidRPr="00152CCA">
              <w:rPr>
                <w:rFonts w:cstheme="minorHAnsi"/>
                <w:b/>
                <w:bCs/>
                <w:i/>
                <w:iCs/>
                <w:sz w:val="16"/>
                <w:szCs w:val="16"/>
              </w:rPr>
              <w:t>(</w:t>
            </w:r>
            <w:r w:rsidRPr="00152CCA">
              <w:rPr>
                <w:rFonts w:cstheme="minorHAnsi"/>
                <w:b/>
                <w:bCs/>
                <w:i/>
                <w:iCs/>
                <w:sz w:val="16"/>
                <w:szCs w:val="16"/>
                <w:u w:val="single"/>
              </w:rPr>
              <w:t>a)(1)(ii)/ALTERNATIVE STANDARD</w:t>
            </w:r>
            <w:r w:rsidRPr="00152CCA">
              <w:rPr>
                <w:rFonts w:cstheme="minorHAnsi"/>
                <w:b/>
                <w:bCs/>
                <w:i/>
                <w:iCs/>
                <w:sz w:val="16"/>
                <w:szCs w:val="16"/>
              </w:rPr>
              <w:t xml:space="preserve"> </w:t>
            </w:r>
          </w:p>
          <w:p w14:paraId="29ACC08A" w14:textId="77777777" w:rsidR="00651D6B" w:rsidRPr="00152CCA" w:rsidRDefault="00651D6B" w:rsidP="00E26D05"/>
          <w:p w14:paraId="63632BA6" w14:textId="77777777" w:rsidR="00651D6B" w:rsidRPr="00152CCA" w:rsidRDefault="00651D6B" w:rsidP="00E26D05">
            <w:pPr>
              <w:rPr>
                <w:rFonts w:cstheme="minorHAnsi"/>
                <w:b/>
                <w:bCs/>
                <w:i/>
                <w:iCs/>
                <w:sz w:val="16"/>
                <w:szCs w:val="16"/>
                <w:u w:val="single"/>
              </w:rPr>
            </w:pPr>
            <w:r w:rsidRPr="00152CCA">
              <w:rPr>
                <w:rFonts w:cstheme="minorHAnsi"/>
                <w:b/>
                <w:bCs/>
                <w:i/>
                <w:iCs/>
                <w:sz w:val="16"/>
                <w:szCs w:val="16"/>
                <w:u w:val="single"/>
              </w:rPr>
              <w:t xml:space="preserve">(a)(2) MINIMUM REQUIREMENTS </w:t>
            </w:r>
          </w:p>
          <w:p w14:paraId="6E8E5E03" w14:textId="77777777" w:rsidR="00651D6B" w:rsidRPr="00152CCA" w:rsidRDefault="00651D6B" w:rsidP="00E26D05">
            <w:pPr>
              <w:rPr>
                <w:rFonts w:cstheme="minorHAnsi"/>
                <w:b/>
                <w:bCs/>
                <w:i/>
                <w:iCs/>
                <w:sz w:val="16"/>
                <w:szCs w:val="16"/>
              </w:rPr>
            </w:pPr>
          </w:p>
          <w:p w14:paraId="66B989B4" w14:textId="77777777" w:rsidR="00651D6B" w:rsidRPr="00152CCA" w:rsidRDefault="00651D6B" w:rsidP="00E26D05">
            <w:pPr>
              <w:rPr>
                <w:rFonts w:cstheme="minorHAnsi"/>
                <w:b/>
                <w:bCs/>
                <w:i/>
                <w:iCs/>
                <w:sz w:val="16"/>
                <w:szCs w:val="16"/>
              </w:rPr>
            </w:pPr>
            <w:r w:rsidRPr="00152CCA">
              <w:rPr>
                <w:rFonts w:cstheme="minorHAnsi"/>
                <w:b/>
                <w:bCs/>
                <w:i/>
                <w:iCs/>
                <w:sz w:val="16"/>
                <w:szCs w:val="16"/>
              </w:rPr>
              <w:t>(b)</w:t>
            </w:r>
            <w:r w:rsidRPr="00152CCA">
              <w:rPr>
                <w:rFonts w:cstheme="minorHAnsi"/>
                <w:b/>
                <w:bCs/>
                <w:i/>
                <w:iCs/>
                <w:sz w:val="16"/>
                <w:szCs w:val="16"/>
                <w:u w:val="single"/>
              </w:rPr>
              <w:t xml:space="preserve"> EXEMPTIONS</w:t>
            </w:r>
          </w:p>
          <w:p w14:paraId="76E4BEE4" w14:textId="77777777" w:rsidR="00651D6B" w:rsidRPr="00152CCA" w:rsidRDefault="00651D6B" w:rsidP="00E26D05">
            <w:pPr>
              <w:rPr>
                <w:rFonts w:cstheme="minorHAnsi"/>
                <w:b/>
                <w:bCs/>
                <w:i/>
                <w:iCs/>
                <w:sz w:val="16"/>
                <w:szCs w:val="16"/>
                <w:u w:val="single"/>
              </w:rPr>
            </w:pPr>
          </w:p>
          <w:p w14:paraId="407C1E60" w14:textId="77777777" w:rsidR="00651D6B" w:rsidRPr="00152CCA" w:rsidRDefault="00651D6B" w:rsidP="00E26D05">
            <w:pPr>
              <w:rPr>
                <w:rFonts w:cstheme="minorHAnsi"/>
                <w:b/>
                <w:bCs/>
                <w:i/>
                <w:iCs/>
                <w:sz w:val="16"/>
                <w:szCs w:val="16"/>
                <w:u w:val="single"/>
              </w:rPr>
            </w:pPr>
            <w:r w:rsidRPr="00152CCA">
              <w:rPr>
                <w:rFonts w:cstheme="minorHAnsi"/>
                <w:b/>
                <w:bCs/>
                <w:i/>
                <w:iCs/>
                <w:sz w:val="16"/>
                <w:szCs w:val="16"/>
                <w:u w:val="single"/>
              </w:rPr>
              <w:t xml:space="preserve">(c)(1), AGGREGATE INDEBTEDNESS) </w:t>
            </w:r>
          </w:p>
          <w:p w14:paraId="74A611ED" w14:textId="77777777" w:rsidR="00651D6B" w:rsidRPr="00152CCA" w:rsidRDefault="00651D6B" w:rsidP="00E26D05">
            <w:pPr>
              <w:rPr>
                <w:rFonts w:cstheme="minorHAnsi"/>
                <w:b/>
                <w:bCs/>
                <w:i/>
                <w:iCs/>
                <w:sz w:val="16"/>
                <w:szCs w:val="16"/>
              </w:rPr>
            </w:pPr>
          </w:p>
          <w:p w14:paraId="220AB520" w14:textId="77777777" w:rsidR="00651D6B" w:rsidRPr="00152CCA" w:rsidRDefault="00651D6B" w:rsidP="00E26D05"/>
        </w:tc>
        <w:tc>
          <w:tcPr>
            <w:tcW w:w="2970" w:type="dxa"/>
            <w:shd w:val="clear" w:color="auto" w:fill="auto"/>
          </w:tcPr>
          <w:p w14:paraId="0FD34234"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The method used by the broker-dealer to compute net capital is not appropriate in the broke</w:t>
            </w:r>
            <w:r>
              <w:rPr>
                <w:rFonts w:cstheme="minorHAnsi"/>
                <w:sz w:val="18"/>
                <w:szCs w:val="18"/>
              </w:rPr>
              <w:t>r</w:t>
            </w:r>
            <w:r w:rsidRPr="00152CCA">
              <w:rPr>
                <w:rFonts w:cstheme="minorHAnsi"/>
                <w:sz w:val="18"/>
                <w:szCs w:val="18"/>
              </w:rPr>
              <w:t>-dealer’s circumstances.</w:t>
            </w:r>
          </w:p>
          <w:p w14:paraId="369F737F"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The minimum net capital is not appropriate in the broker-dealer’s circumstances</w:t>
            </w:r>
          </w:p>
          <w:p w14:paraId="1E1EA83B" w14:textId="77777777" w:rsidR="00651D6B" w:rsidRPr="00764976" w:rsidRDefault="00651D6B" w:rsidP="00651D6B">
            <w:pPr>
              <w:pStyle w:val="ListParagraph"/>
              <w:numPr>
                <w:ilvl w:val="0"/>
                <w:numId w:val="1"/>
              </w:numPr>
              <w:spacing w:after="240" w:line="240" w:lineRule="auto"/>
              <w:rPr>
                <w:rFonts w:cstheme="minorHAnsi"/>
                <w:sz w:val="18"/>
                <w:szCs w:val="18"/>
              </w:rPr>
            </w:pPr>
            <w:r w:rsidRPr="00764976">
              <w:rPr>
                <w:rFonts w:cstheme="minorHAnsi"/>
                <w:sz w:val="18"/>
                <w:szCs w:val="18"/>
              </w:rPr>
              <w:t>Minimum net capital requirement is not appropriately determined because certain liabilities of the broker-dealer have been inappropriately excluded from the aggregate indebtedness calculation</w:t>
            </w:r>
          </w:p>
          <w:p w14:paraId="192891CA" w14:textId="77777777" w:rsidR="00651D6B" w:rsidRPr="00152CCA" w:rsidRDefault="00651D6B" w:rsidP="00651D6B">
            <w:pPr>
              <w:pStyle w:val="ListParagraph"/>
              <w:numPr>
                <w:ilvl w:val="0"/>
                <w:numId w:val="1"/>
              </w:numPr>
              <w:spacing w:after="240" w:line="240" w:lineRule="auto"/>
            </w:pPr>
            <w:r w:rsidRPr="00152CCA">
              <w:rPr>
                <w:rFonts w:cstheme="minorHAnsi"/>
                <w:sz w:val="18"/>
                <w:szCs w:val="18"/>
              </w:rPr>
              <w:t>The broker</w:t>
            </w:r>
            <w:r>
              <w:rPr>
                <w:rFonts w:cstheme="minorHAnsi"/>
                <w:sz w:val="18"/>
                <w:szCs w:val="18"/>
              </w:rPr>
              <w:t>-</w:t>
            </w:r>
            <w:r w:rsidRPr="00152CCA">
              <w:rPr>
                <w:rFonts w:cstheme="minorHAnsi"/>
                <w:sz w:val="18"/>
                <w:szCs w:val="18"/>
              </w:rPr>
              <w:t xml:space="preserve">dealer does not maintain required </w:t>
            </w:r>
            <w:r>
              <w:rPr>
                <w:rFonts w:cstheme="minorHAnsi"/>
                <w:sz w:val="18"/>
                <w:szCs w:val="18"/>
              </w:rPr>
              <w:t>n</w:t>
            </w:r>
            <w:r w:rsidRPr="00152CCA">
              <w:rPr>
                <w:rFonts w:cstheme="minorHAnsi"/>
                <w:sz w:val="18"/>
                <w:szCs w:val="18"/>
              </w:rPr>
              <w:t xml:space="preserve">et </w:t>
            </w:r>
            <w:r>
              <w:rPr>
                <w:rFonts w:cstheme="minorHAnsi"/>
                <w:sz w:val="18"/>
                <w:szCs w:val="18"/>
              </w:rPr>
              <w:t>c</w:t>
            </w:r>
            <w:r w:rsidRPr="00152CCA">
              <w:rPr>
                <w:rFonts w:cstheme="minorHAnsi"/>
                <w:sz w:val="18"/>
                <w:szCs w:val="18"/>
              </w:rPr>
              <w:t>apital</w:t>
            </w:r>
            <w:r>
              <w:rPr>
                <w:rFonts w:cstheme="minorHAnsi"/>
                <w:sz w:val="18"/>
                <w:szCs w:val="18"/>
              </w:rPr>
              <w:t xml:space="preserve"> </w:t>
            </w:r>
            <w:r w:rsidRPr="00152CCA">
              <w:rPr>
                <w:rFonts w:cstheme="minorHAnsi"/>
                <w:sz w:val="18"/>
                <w:szCs w:val="18"/>
              </w:rPr>
              <w:t>at all times</w:t>
            </w:r>
            <w:r w:rsidRPr="00152CCA">
              <w:rPr>
                <w:rFonts w:cstheme="minorHAnsi"/>
                <w:i/>
                <w:iCs/>
                <w:sz w:val="16"/>
                <w:szCs w:val="16"/>
              </w:rPr>
              <w:t xml:space="preserve"> (including intraday)</w:t>
            </w:r>
            <w:r w:rsidRPr="00152CCA">
              <w:rPr>
                <w:rFonts w:cstheme="minorHAnsi"/>
                <w:sz w:val="18"/>
                <w:szCs w:val="18"/>
              </w:rPr>
              <w:t>.</w:t>
            </w:r>
          </w:p>
        </w:tc>
      </w:tr>
      <w:tr w:rsidR="00651D6B" w14:paraId="57506F1C" w14:textId="77777777" w:rsidTr="00E26D05">
        <w:tc>
          <w:tcPr>
            <w:tcW w:w="9355" w:type="dxa"/>
            <w:gridSpan w:val="3"/>
            <w:shd w:val="clear" w:color="auto" w:fill="auto"/>
          </w:tcPr>
          <w:p w14:paraId="3DDCB675" w14:textId="77777777" w:rsidR="00651D6B" w:rsidRPr="00152CCA" w:rsidRDefault="00651D6B" w:rsidP="00E26D05">
            <w:pPr>
              <w:pStyle w:val="ListParagraph"/>
              <w:spacing w:line="240" w:lineRule="auto"/>
              <w:jc w:val="center"/>
              <w:rPr>
                <w:rFonts w:eastAsia="Times New Roman"/>
                <w:b/>
                <w:bCs/>
              </w:rPr>
            </w:pPr>
          </w:p>
        </w:tc>
      </w:tr>
      <w:tr w:rsidR="00651D6B" w14:paraId="392F271E" w14:textId="77777777" w:rsidTr="00E26D05">
        <w:tc>
          <w:tcPr>
            <w:tcW w:w="9355" w:type="dxa"/>
            <w:gridSpan w:val="3"/>
            <w:shd w:val="clear" w:color="auto" w:fill="auto"/>
          </w:tcPr>
          <w:p w14:paraId="43C35F63" w14:textId="77777777" w:rsidR="00651D6B" w:rsidRPr="00152CCA" w:rsidRDefault="00651D6B" w:rsidP="00E26D05">
            <w:pPr>
              <w:pStyle w:val="ListParagraph"/>
              <w:spacing w:line="240" w:lineRule="auto"/>
              <w:jc w:val="center"/>
            </w:pPr>
            <w:r w:rsidRPr="00152CCA">
              <w:rPr>
                <w:rFonts w:eastAsia="Times New Roman"/>
                <w:b/>
                <w:bCs/>
              </w:rPr>
              <w:t xml:space="preserve">Net Capital, Subordinated and Discretionary Liabilities, and Certain Other Adjustments to Net Worth </w:t>
            </w:r>
          </w:p>
        </w:tc>
      </w:tr>
      <w:tr w:rsidR="00651D6B" w14:paraId="32CA3E72" w14:textId="77777777" w:rsidTr="00E26D05">
        <w:tc>
          <w:tcPr>
            <w:tcW w:w="3325" w:type="dxa"/>
            <w:shd w:val="clear" w:color="auto" w:fill="auto"/>
          </w:tcPr>
          <w:p w14:paraId="60FC6EAE" w14:textId="77777777" w:rsidR="00651D6B" w:rsidRPr="00152CCA" w:rsidRDefault="00651D6B" w:rsidP="00E26D05">
            <w:pPr>
              <w:rPr>
                <w:i/>
                <w:iCs/>
                <w:sz w:val="18"/>
                <w:szCs w:val="18"/>
                <w:u w:val="single"/>
              </w:rPr>
            </w:pPr>
            <w:r w:rsidRPr="00152CCA">
              <w:rPr>
                <w:rStyle w:val="paragraph110"/>
                <w:rFonts w:eastAsia="Times New Roman" w:cstheme="minorHAnsi"/>
                <w:sz w:val="18"/>
                <w:szCs w:val="18"/>
                <w:specVanish w:val="0"/>
              </w:rPr>
              <w:t>The net capital of a broker-dealer is equal to its net worth that is to be computed in accordance with GAAP and adjusted by certain additions and deductions such as</w:t>
            </w:r>
            <w:r w:rsidRPr="00152CCA">
              <w:rPr>
                <w:rStyle w:val="paragraph111"/>
                <w:rFonts w:eastAsia="Times New Roman" w:cstheme="minorHAnsi"/>
                <w:sz w:val="18"/>
                <w:szCs w:val="18"/>
                <w:specVanish w:val="0"/>
              </w:rPr>
              <w:t>:</w:t>
            </w:r>
            <w:r w:rsidRPr="00152CCA">
              <w:rPr>
                <w:rStyle w:val="paragraph111"/>
                <w:rFonts w:eastAsia="Times New Roman"/>
                <w:sz w:val="18"/>
                <w:szCs w:val="18"/>
                <w:specVanish w:val="0"/>
              </w:rPr>
              <w:t xml:space="preserve"> </w:t>
            </w:r>
            <w:r w:rsidRPr="00152CCA">
              <w:rPr>
                <w:i/>
                <w:iCs/>
                <w:sz w:val="18"/>
                <w:szCs w:val="18"/>
                <w:u w:val="single"/>
              </w:rPr>
              <w:t xml:space="preserve">(1) Discretionary Liabilities; (2) Liabilities </w:t>
            </w:r>
            <w:r w:rsidRPr="00152CCA">
              <w:rPr>
                <w:i/>
                <w:iCs/>
                <w:sz w:val="18"/>
                <w:szCs w:val="18"/>
                <w:u w:val="single"/>
              </w:rPr>
              <w:lastRenderedPageBreak/>
              <w:t xml:space="preserve">subordinated to claims of general creditors; (3) Deferred income tax liabilities; (4) Unrealized profit / losses.  </w:t>
            </w:r>
          </w:p>
          <w:p w14:paraId="4F2EFFAC" w14:textId="77777777" w:rsidR="00651D6B" w:rsidRPr="00152CCA" w:rsidRDefault="00651D6B" w:rsidP="00E26D05">
            <w:pPr>
              <w:rPr>
                <w:rFonts w:ascii="Times New Roman" w:hAnsi="Times New Roman" w:cs="Times New Roman"/>
                <w:b/>
                <w:bCs/>
                <w:color w:val="000000"/>
                <w:sz w:val="23"/>
                <w:szCs w:val="23"/>
                <w:u w:val="single"/>
              </w:rPr>
            </w:pPr>
            <w:r w:rsidRPr="00152CCA">
              <w:rPr>
                <w:rStyle w:val="paragraph111"/>
                <w:rFonts w:eastAsia="Times New Roman"/>
                <w:sz w:val="18"/>
                <w:szCs w:val="18"/>
                <w:specVanish w:val="0"/>
              </w:rPr>
              <w:t>The extent to which these liabilities may be included in capital is subject to limitations.</w:t>
            </w:r>
          </w:p>
          <w:p w14:paraId="591349FE" w14:textId="77777777" w:rsidR="00651D6B" w:rsidRPr="00152CCA" w:rsidRDefault="00651D6B" w:rsidP="00E26D05"/>
        </w:tc>
        <w:tc>
          <w:tcPr>
            <w:tcW w:w="3060" w:type="dxa"/>
            <w:shd w:val="clear" w:color="auto" w:fill="auto"/>
          </w:tcPr>
          <w:p w14:paraId="540A6D50" w14:textId="77777777" w:rsidR="00651D6B" w:rsidRPr="00152CCA" w:rsidRDefault="00651D6B" w:rsidP="00E26D05">
            <w:pPr>
              <w:jc w:val="center"/>
              <w:rPr>
                <w:rStyle w:val="paragraph2"/>
                <w:b/>
                <w:sz w:val="18"/>
                <w:lang w:val="en"/>
              </w:rPr>
            </w:pPr>
            <w:r w:rsidRPr="00152CCA">
              <w:rPr>
                <w:rStyle w:val="paragraph2"/>
                <w:rFonts w:cstheme="minorHAnsi"/>
                <w:b/>
                <w:bCs/>
                <w:i/>
                <w:iCs/>
                <w:sz w:val="18"/>
                <w:szCs w:val="18"/>
                <w:lang w:val="en"/>
                <w:specVanish w:val="0"/>
              </w:rPr>
              <w:lastRenderedPageBreak/>
              <w:t>15c3-1</w:t>
            </w:r>
            <w:r w:rsidRPr="00152CCA">
              <w:rPr>
                <w:rStyle w:val="paragraph2"/>
                <w:i/>
                <w:iCs/>
                <w:lang w:val="en"/>
                <w:specVanish w:val="0"/>
              </w:rPr>
              <w:t>(</w:t>
            </w:r>
            <w:r w:rsidRPr="00152CCA">
              <w:rPr>
                <w:rStyle w:val="paragraph2"/>
                <w:b/>
                <w:i/>
                <w:iCs/>
                <w:sz w:val="18"/>
                <w:lang w:val="en"/>
                <w:specVanish w:val="0"/>
              </w:rPr>
              <w:t>c)(</w:t>
            </w:r>
            <w:r w:rsidRPr="00152CCA">
              <w:rPr>
                <w:b/>
                <w:i/>
                <w:iCs/>
                <w:sz w:val="18"/>
              </w:rPr>
              <w:t xml:space="preserve">2) </w:t>
            </w:r>
            <w:r w:rsidRPr="00152CCA">
              <w:rPr>
                <w:rFonts w:cstheme="minorHAnsi"/>
                <w:b/>
                <w:i/>
                <w:iCs/>
                <w:sz w:val="18"/>
                <w:szCs w:val="18"/>
              </w:rPr>
              <w:t>N</w:t>
            </w:r>
            <w:r w:rsidRPr="00152CCA">
              <w:rPr>
                <w:rStyle w:val="paragraph2"/>
                <w:rFonts w:cstheme="minorHAnsi"/>
                <w:b/>
                <w:i/>
                <w:iCs/>
                <w:sz w:val="18"/>
                <w:szCs w:val="18"/>
                <w:lang w:val="en"/>
                <w:specVanish w:val="0"/>
              </w:rPr>
              <w:t>et Capital</w:t>
            </w:r>
            <w:r w:rsidRPr="00152CCA">
              <w:rPr>
                <w:rStyle w:val="paragraph2"/>
                <w:b/>
                <w:sz w:val="18"/>
                <w:lang w:val="en"/>
                <w:specVanish w:val="0"/>
              </w:rPr>
              <w:t xml:space="preserve"> </w:t>
            </w:r>
            <w:r w:rsidRPr="00152CCA">
              <w:rPr>
                <w:rFonts w:cstheme="minorHAnsi"/>
                <w:b/>
                <w:bCs/>
                <w:i/>
                <w:iCs/>
                <w:sz w:val="20"/>
                <w:szCs w:val="20"/>
              </w:rPr>
              <w:t>and related interpretations</w:t>
            </w:r>
          </w:p>
          <w:p w14:paraId="2F108050" w14:textId="77777777" w:rsidR="00651D6B" w:rsidRPr="00152CCA" w:rsidRDefault="00651D6B" w:rsidP="00E26D05">
            <w:pPr>
              <w:autoSpaceDE w:val="0"/>
              <w:autoSpaceDN w:val="0"/>
              <w:adjustRightInd w:val="0"/>
              <w:rPr>
                <w:b/>
                <w:bCs/>
                <w:sz w:val="18"/>
                <w:szCs w:val="18"/>
                <w:u w:val="single"/>
              </w:rPr>
            </w:pPr>
          </w:p>
          <w:p w14:paraId="27174645" w14:textId="77777777" w:rsidR="00651D6B" w:rsidRPr="00EC46EF" w:rsidRDefault="00651D6B" w:rsidP="00E26D05">
            <w:pPr>
              <w:autoSpaceDE w:val="0"/>
              <w:autoSpaceDN w:val="0"/>
              <w:adjustRightInd w:val="0"/>
              <w:rPr>
                <w:i/>
                <w:sz w:val="18"/>
                <w:u w:val="single"/>
              </w:rPr>
            </w:pPr>
            <w:r w:rsidRPr="00152CCA">
              <w:rPr>
                <w:sz w:val="18"/>
                <w:szCs w:val="18"/>
                <w:u w:val="single"/>
              </w:rPr>
              <w:t>(c)(2)</w:t>
            </w:r>
            <w:r w:rsidRPr="00152CCA">
              <w:rPr>
                <w:i/>
                <w:iCs/>
                <w:sz w:val="18"/>
                <w:szCs w:val="18"/>
                <w:u w:val="single"/>
              </w:rPr>
              <w:t>/01 Generally Accepted Accounting Principles (GAAP)</w:t>
            </w:r>
          </w:p>
          <w:p w14:paraId="42EF8A4D" w14:textId="77777777" w:rsidR="00651D6B" w:rsidRPr="00152CCA" w:rsidRDefault="00651D6B" w:rsidP="00E26D05">
            <w:pPr>
              <w:autoSpaceDE w:val="0"/>
              <w:autoSpaceDN w:val="0"/>
              <w:adjustRightInd w:val="0"/>
            </w:pPr>
          </w:p>
          <w:p w14:paraId="7A997F84" w14:textId="77777777" w:rsidR="00651D6B" w:rsidRDefault="00651D6B" w:rsidP="00E26D05">
            <w:pPr>
              <w:autoSpaceDE w:val="0"/>
              <w:autoSpaceDN w:val="0"/>
              <w:adjustRightInd w:val="0"/>
              <w:rPr>
                <w:i/>
                <w:iCs/>
                <w:sz w:val="18"/>
                <w:szCs w:val="18"/>
                <w:u w:val="single"/>
              </w:rPr>
            </w:pPr>
            <w:r w:rsidRPr="00152CCA" w:rsidDel="000D2C86">
              <w:rPr>
                <w:i/>
                <w:iCs/>
                <w:sz w:val="18"/>
                <w:szCs w:val="18"/>
              </w:rPr>
              <w:t xml:space="preserve"> </w:t>
            </w:r>
            <w:r w:rsidRPr="00152CCA">
              <w:rPr>
                <w:sz w:val="18"/>
                <w:szCs w:val="18"/>
                <w:u w:val="single"/>
              </w:rPr>
              <w:t>(c)(2)</w:t>
            </w:r>
            <w:r w:rsidRPr="00152CCA">
              <w:rPr>
                <w:rFonts w:ascii="Times New Roman" w:hAnsi="Times New Roman" w:cs="Times New Roman"/>
                <w:color w:val="000000"/>
                <w:sz w:val="23"/>
                <w:szCs w:val="23"/>
                <w:u w:val="single"/>
              </w:rPr>
              <w:t>/</w:t>
            </w:r>
            <w:r w:rsidRPr="00152CCA">
              <w:rPr>
                <w:i/>
                <w:iCs/>
                <w:sz w:val="18"/>
                <w:szCs w:val="18"/>
                <w:u w:val="single"/>
              </w:rPr>
              <w:t>02 Discretionary Liabilities</w:t>
            </w:r>
          </w:p>
          <w:p w14:paraId="6DBDD918" w14:textId="77777777" w:rsidR="00651D6B" w:rsidRPr="00152CCA" w:rsidRDefault="00651D6B" w:rsidP="00E26D05">
            <w:pPr>
              <w:autoSpaceDE w:val="0"/>
              <w:autoSpaceDN w:val="0"/>
              <w:adjustRightInd w:val="0"/>
              <w:rPr>
                <w:rFonts w:ascii="Times New Roman" w:hAnsi="Times New Roman" w:cs="Times New Roman"/>
                <w:color w:val="000000"/>
                <w:sz w:val="23"/>
                <w:szCs w:val="23"/>
                <w:u w:val="single"/>
              </w:rPr>
            </w:pPr>
            <w:r w:rsidRPr="00152CCA">
              <w:rPr>
                <w:rFonts w:ascii="Times New Roman" w:hAnsi="Times New Roman" w:cs="Times New Roman"/>
                <w:color w:val="000000"/>
                <w:sz w:val="23"/>
                <w:szCs w:val="23"/>
                <w:u w:val="single"/>
              </w:rPr>
              <w:t xml:space="preserve"> </w:t>
            </w:r>
          </w:p>
          <w:p w14:paraId="273E6E86" w14:textId="77777777" w:rsidR="00651D6B" w:rsidRPr="00152CCA" w:rsidRDefault="00651D6B" w:rsidP="00E26D05">
            <w:pPr>
              <w:rPr>
                <w:i/>
                <w:iCs/>
                <w:sz w:val="18"/>
                <w:szCs w:val="18"/>
                <w:u w:val="single"/>
              </w:rPr>
            </w:pPr>
            <w:r w:rsidRPr="00152CCA">
              <w:rPr>
                <w:sz w:val="18"/>
                <w:szCs w:val="18"/>
                <w:u w:val="single"/>
              </w:rPr>
              <w:t>(</w:t>
            </w:r>
            <w:r w:rsidRPr="00152CCA">
              <w:rPr>
                <w:i/>
                <w:iCs/>
                <w:sz w:val="18"/>
                <w:szCs w:val="18"/>
                <w:u w:val="single"/>
              </w:rPr>
              <w:t>c)(2)(i) ADJUSTMENTS TO NET WORTH RELATED TO UNREALIZED PROFIT OR LOSS, DEFERRED TAX PROVISIONS, AND CERTAIN LIABILITIES</w:t>
            </w:r>
          </w:p>
          <w:p w14:paraId="2122C773" w14:textId="77777777" w:rsidR="00651D6B" w:rsidRDefault="00651D6B" w:rsidP="00E26D05">
            <w:pPr>
              <w:rPr>
                <w:i/>
                <w:iCs/>
                <w:sz w:val="18"/>
                <w:szCs w:val="18"/>
                <w:u w:val="single"/>
              </w:rPr>
            </w:pPr>
          </w:p>
          <w:p w14:paraId="4E4A462B" w14:textId="77777777" w:rsidR="00651D6B" w:rsidRPr="00152CCA" w:rsidRDefault="00651D6B" w:rsidP="00E26D05">
            <w:pPr>
              <w:rPr>
                <w:i/>
                <w:iCs/>
                <w:sz w:val="18"/>
                <w:szCs w:val="18"/>
                <w:u w:val="single"/>
              </w:rPr>
            </w:pPr>
            <w:r w:rsidRPr="00152CCA">
              <w:rPr>
                <w:i/>
                <w:iCs/>
                <w:sz w:val="18"/>
                <w:szCs w:val="18"/>
                <w:u w:val="single"/>
              </w:rPr>
              <w:t>(c)(2)(ii) Subordinated Liabilities</w:t>
            </w:r>
          </w:p>
          <w:p w14:paraId="1272ACBA" w14:textId="77777777" w:rsidR="00651D6B" w:rsidRPr="00152CCA" w:rsidRDefault="00651D6B" w:rsidP="00E26D05"/>
        </w:tc>
        <w:tc>
          <w:tcPr>
            <w:tcW w:w="2970" w:type="dxa"/>
            <w:shd w:val="clear" w:color="auto" w:fill="auto"/>
          </w:tcPr>
          <w:p w14:paraId="54590B86"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lastRenderedPageBreak/>
              <w:t xml:space="preserve">Net </w:t>
            </w:r>
            <w:r>
              <w:rPr>
                <w:rFonts w:cstheme="minorHAnsi"/>
                <w:sz w:val="18"/>
                <w:szCs w:val="18"/>
              </w:rPr>
              <w:t>c</w:t>
            </w:r>
            <w:r w:rsidRPr="00152CCA">
              <w:rPr>
                <w:rFonts w:cstheme="minorHAnsi"/>
                <w:sz w:val="18"/>
                <w:szCs w:val="18"/>
              </w:rPr>
              <w:t xml:space="preserve">apital is not accurate and not complete because the equity balance is not reconcilable to the broker-dealer’s books and records, or it is not determined in accordance </w:t>
            </w:r>
            <w:r w:rsidRPr="00152CCA">
              <w:rPr>
                <w:rFonts w:cstheme="minorHAnsi"/>
                <w:sz w:val="18"/>
                <w:szCs w:val="18"/>
              </w:rPr>
              <w:lastRenderedPageBreak/>
              <w:t>with GAAP as specified in the Rule</w:t>
            </w:r>
          </w:p>
          <w:p w14:paraId="771BF71B"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Net </w:t>
            </w:r>
            <w:r>
              <w:rPr>
                <w:rFonts w:cstheme="minorHAnsi"/>
                <w:sz w:val="18"/>
                <w:szCs w:val="18"/>
              </w:rPr>
              <w:t>c</w:t>
            </w:r>
            <w:r w:rsidRPr="00152CCA">
              <w:rPr>
                <w:rFonts w:cstheme="minorHAnsi"/>
                <w:sz w:val="18"/>
                <w:szCs w:val="18"/>
              </w:rPr>
              <w:t>apital balance is not accurate because non-discretionary bonus liabilities of the broker-dealer ha</w:t>
            </w:r>
            <w:r>
              <w:rPr>
                <w:rFonts w:cstheme="minorHAnsi"/>
                <w:sz w:val="18"/>
                <w:szCs w:val="18"/>
              </w:rPr>
              <w:t>ve</w:t>
            </w:r>
            <w:r w:rsidRPr="00152CCA">
              <w:rPr>
                <w:rFonts w:cstheme="minorHAnsi"/>
                <w:sz w:val="18"/>
                <w:szCs w:val="18"/>
              </w:rPr>
              <w:t xml:space="preserve"> been added back to its net worth computation</w:t>
            </w:r>
          </w:p>
          <w:p w14:paraId="06E3C870"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The broker-dealer is not in compliance with the </w:t>
            </w:r>
            <w:r>
              <w:rPr>
                <w:rFonts w:cstheme="minorHAnsi"/>
                <w:sz w:val="18"/>
                <w:szCs w:val="18"/>
              </w:rPr>
              <w:t>n</w:t>
            </w:r>
            <w:r w:rsidRPr="00152CCA">
              <w:rPr>
                <w:rFonts w:cstheme="minorHAnsi"/>
                <w:sz w:val="18"/>
                <w:szCs w:val="18"/>
              </w:rPr>
              <w:t xml:space="preserve">et </w:t>
            </w:r>
            <w:r>
              <w:rPr>
                <w:rFonts w:cstheme="minorHAnsi"/>
                <w:sz w:val="18"/>
                <w:szCs w:val="18"/>
              </w:rPr>
              <w:t>c</w:t>
            </w:r>
            <w:r w:rsidRPr="00152CCA">
              <w:rPr>
                <w:rFonts w:cstheme="minorHAnsi"/>
                <w:sz w:val="18"/>
                <w:szCs w:val="18"/>
              </w:rPr>
              <w:t xml:space="preserve">apital rule because its subordinated liabilities were added to its net worth but have not been approved by the regulatory authority and do not meet other requirements of the subordinated agreement </w:t>
            </w:r>
          </w:p>
          <w:p w14:paraId="6B8D2D74" w14:textId="77777777" w:rsidR="00651D6B" w:rsidRPr="00152CCA" w:rsidRDefault="00651D6B" w:rsidP="00651D6B">
            <w:pPr>
              <w:pStyle w:val="ListParagraph"/>
              <w:numPr>
                <w:ilvl w:val="0"/>
                <w:numId w:val="1"/>
              </w:numPr>
              <w:spacing w:after="240" w:line="240" w:lineRule="auto"/>
            </w:pPr>
            <w:r w:rsidRPr="00152CCA">
              <w:rPr>
                <w:rFonts w:cstheme="minorHAnsi"/>
                <w:sz w:val="18"/>
                <w:szCs w:val="18"/>
              </w:rPr>
              <w:t xml:space="preserve">Net </w:t>
            </w:r>
            <w:r>
              <w:rPr>
                <w:rFonts w:cstheme="minorHAnsi"/>
                <w:sz w:val="18"/>
                <w:szCs w:val="18"/>
              </w:rPr>
              <w:t>c</w:t>
            </w:r>
            <w:r w:rsidRPr="00152CCA">
              <w:rPr>
                <w:rFonts w:cstheme="minorHAnsi"/>
                <w:sz w:val="18"/>
                <w:szCs w:val="18"/>
              </w:rPr>
              <w:t>apital is not accurate and not complete because adjustments to the net worth related to unrealized profit or loss had not been applied in accordance with the Rule</w:t>
            </w:r>
          </w:p>
          <w:p w14:paraId="2215A0E5" w14:textId="77777777" w:rsidR="00651D6B" w:rsidRPr="00152CCA" w:rsidRDefault="00651D6B" w:rsidP="00651D6B">
            <w:pPr>
              <w:pStyle w:val="ListParagraph"/>
              <w:numPr>
                <w:ilvl w:val="0"/>
                <w:numId w:val="1"/>
              </w:numPr>
              <w:spacing w:after="240" w:line="240" w:lineRule="auto"/>
            </w:pPr>
            <w:r w:rsidRPr="00152CCA">
              <w:rPr>
                <w:rFonts w:cstheme="minorHAnsi"/>
                <w:sz w:val="18"/>
                <w:szCs w:val="18"/>
              </w:rPr>
              <w:t xml:space="preserve">Net capital is not accurate because deferred income tax liability was inappropriately added back to </w:t>
            </w:r>
            <w:r>
              <w:rPr>
                <w:rFonts w:cstheme="minorHAnsi"/>
                <w:sz w:val="18"/>
                <w:szCs w:val="18"/>
              </w:rPr>
              <w:t>the</w:t>
            </w:r>
            <w:r w:rsidRPr="00152CCA">
              <w:rPr>
                <w:rFonts w:cstheme="minorHAnsi"/>
                <w:sz w:val="18"/>
                <w:szCs w:val="18"/>
              </w:rPr>
              <w:t xml:space="preserve"> net worth computation</w:t>
            </w:r>
            <w:r w:rsidRPr="00152CCA">
              <w:t>.</w:t>
            </w:r>
          </w:p>
        </w:tc>
      </w:tr>
      <w:tr w:rsidR="00651D6B" w14:paraId="6C4250B0" w14:textId="77777777" w:rsidTr="00E26D05">
        <w:tc>
          <w:tcPr>
            <w:tcW w:w="9355" w:type="dxa"/>
            <w:gridSpan w:val="3"/>
          </w:tcPr>
          <w:p w14:paraId="13CA594F" w14:textId="77777777" w:rsidR="00651D6B" w:rsidRPr="00152CCA" w:rsidRDefault="00651D6B" w:rsidP="00E26D05">
            <w:pPr>
              <w:pStyle w:val="ListParagraph"/>
              <w:spacing w:line="240" w:lineRule="auto"/>
              <w:jc w:val="center"/>
              <w:rPr>
                <w:rFonts w:eastAsia="Times New Roman"/>
                <w:b/>
                <w:bCs/>
              </w:rPr>
            </w:pPr>
            <w:r w:rsidRPr="00152CCA">
              <w:rPr>
                <w:rFonts w:eastAsia="Times New Roman"/>
                <w:b/>
                <w:bCs/>
              </w:rPr>
              <w:lastRenderedPageBreak/>
              <w:t xml:space="preserve">Assets Not Readily Convertible into Cash </w:t>
            </w:r>
          </w:p>
          <w:p w14:paraId="54D0E086" w14:textId="77777777" w:rsidR="00651D6B" w:rsidRPr="00152CCA" w:rsidRDefault="00651D6B" w:rsidP="00E26D05">
            <w:pPr>
              <w:pStyle w:val="ListParagraph"/>
              <w:spacing w:line="240" w:lineRule="auto"/>
              <w:jc w:val="center"/>
              <w:rPr>
                <w:rFonts w:eastAsia="Times New Roman"/>
                <w:b/>
                <w:bCs/>
              </w:rPr>
            </w:pPr>
            <w:r w:rsidRPr="00152CCA">
              <w:rPr>
                <w:rFonts w:eastAsia="Times New Roman"/>
                <w:b/>
                <w:bCs/>
              </w:rPr>
              <w:t xml:space="preserve">Nonallowable assets/ </w:t>
            </w:r>
            <w:r w:rsidRPr="00152CCA">
              <w:rPr>
                <w:b/>
                <w:bCs/>
              </w:rPr>
              <w:t xml:space="preserve">Other </w:t>
            </w:r>
            <w:r w:rsidRPr="001A4EE0">
              <w:rPr>
                <w:rFonts w:eastAsia="Times New Roman"/>
                <w:b/>
                <w:bCs/>
              </w:rPr>
              <w:t>deductions</w:t>
            </w:r>
            <w:r w:rsidRPr="00152CCA">
              <w:rPr>
                <w:b/>
                <w:bCs/>
              </w:rPr>
              <w:t xml:space="preserve"> and charges</w:t>
            </w:r>
          </w:p>
        </w:tc>
      </w:tr>
      <w:tr w:rsidR="00651D6B" w14:paraId="7DD8A047" w14:textId="77777777" w:rsidTr="00E26D05">
        <w:trPr>
          <w:trHeight w:val="3590"/>
        </w:trPr>
        <w:tc>
          <w:tcPr>
            <w:tcW w:w="3325" w:type="dxa"/>
          </w:tcPr>
          <w:p w14:paraId="471E723D" w14:textId="77777777" w:rsidR="00651D6B" w:rsidRPr="00152CCA" w:rsidRDefault="00651D6B" w:rsidP="00E26D05">
            <w:pPr>
              <w:rPr>
                <w:rStyle w:val="paragraph122"/>
                <w:rFonts w:eastAsia="Times New Roman" w:cstheme="minorHAnsi"/>
                <w:sz w:val="18"/>
                <w:szCs w:val="18"/>
              </w:rPr>
            </w:pPr>
            <w:r w:rsidRPr="00152CCA">
              <w:rPr>
                <w:rStyle w:val="paragraph121"/>
                <w:rFonts w:eastAsia="Times New Roman" w:cstheme="minorHAnsi"/>
                <w:sz w:val="18"/>
                <w:szCs w:val="18"/>
                <w:specVanish w:val="0"/>
              </w:rPr>
              <w:t xml:space="preserve">A broker-dealer is required to deduct items in the net capital computation to </w:t>
            </w:r>
            <w:proofErr w:type="gramStart"/>
            <w:r w:rsidRPr="00152CCA">
              <w:rPr>
                <w:rStyle w:val="paragraph121"/>
                <w:rFonts w:eastAsia="Times New Roman" w:cstheme="minorHAnsi"/>
                <w:sz w:val="18"/>
                <w:szCs w:val="18"/>
                <w:specVanish w:val="0"/>
              </w:rPr>
              <w:t>take into account</w:t>
            </w:r>
            <w:proofErr w:type="gramEnd"/>
            <w:r w:rsidRPr="00152CCA">
              <w:rPr>
                <w:rStyle w:val="paragraph121"/>
                <w:rFonts w:eastAsia="Times New Roman" w:cstheme="minorHAnsi"/>
                <w:sz w:val="18"/>
                <w:szCs w:val="18"/>
                <w:specVanish w:val="0"/>
              </w:rPr>
              <w:t xml:space="preserve"> market and liquidity risks. </w:t>
            </w:r>
            <w:r w:rsidRPr="00152CCA">
              <w:rPr>
                <w:rStyle w:val="paragraph122"/>
                <w:rFonts w:eastAsia="Times New Roman" w:cstheme="minorHAnsi"/>
                <w:sz w:val="18"/>
                <w:szCs w:val="18"/>
                <w:specVanish w:val="0"/>
              </w:rPr>
              <w:t>In general:</w:t>
            </w:r>
          </w:p>
          <w:p w14:paraId="76116333" w14:textId="77777777" w:rsidR="00651D6B" w:rsidRPr="00152CCA" w:rsidRDefault="00651D6B" w:rsidP="00E26D05">
            <w:pPr>
              <w:rPr>
                <w:rStyle w:val="paragraph122"/>
                <w:rFonts w:eastAsia="Times New Roman" w:cstheme="minorHAnsi"/>
                <w:sz w:val="18"/>
                <w:szCs w:val="18"/>
              </w:rPr>
            </w:pPr>
          </w:p>
          <w:p w14:paraId="1417A1F4" w14:textId="77777777" w:rsidR="00651D6B" w:rsidRPr="00152CCA" w:rsidRDefault="00651D6B" w:rsidP="00E26D05">
            <w:pPr>
              <w:rPr>
                <w:rStyle w:val="paragraph122"/>
                <w:rFonts w:eastAsia="Times New Roman" w:cstheme="minorHAnsi"/>
                <w:sz w:val="18"/>
                <w:szCs w:val="18"/>
              </w:rPr>
            </w:pPr>
            <w:r w:rsidRPr="00152CCA">
              <w:rPr>
                <w:rStyle w:val="paragraph122"/>
                <w:rFonts w:eastAsia="Times New Roman" w:cstheme="minorHAnsi"/>
                <w:i/>
                <w:iCs/>
                <w:sz w:val="18"/>
                <w:szCs w:val="18"/>
                <w:specVanish w:val="0"/>
              </w:rPr>
              <w:t>Nonallowable assets</w:t>
            </w:r>
            <w:r w:rsidRPr="00152CCA">
              <w:rPr>
                <w:rStyle w:val="paragraph122"/>
                <w:rFonts w:eastAsia="Times New Roman" w:cstheme="minorHAnsi"/>
                <w:sz w:val="18"/>
                <w:szCs w:val="18"/>
                <w:specVanish w:val="0"/>
              </w:rPr>
              <w:t xml:space="preserve"> are assets not readily convertible into cash (e.g., fixed assets, intercompany receivables,</w:t>
            </w:r>
            <w:r w:rsidRPr="00152CCA">
              <w:rPr>
                <w:rStyle w:val="paragraph122"/>
                <w:rFonts w:eastAsia="Times New Roman"/>
                <w:specVanish w:val="0"/>
              </w:rPr>
              <w:t xml:space="preserve"> </w:t>
            </w:r>
            <w:r w:rsidRPr="00152CCA">
              <w:rPr>
                <w:rStyle w:val="paragraph122"/>
                <w:rFonts w:eastAsia="Times New Roman" w:cstheme="minorHAnsi"/>
                <w:sz w:val="18"/>
                <w:szCs w:val="18"/>
                <w:specVanish w:val="0"/>
              </w:rPr>
              <w:t>securities not readily marketable, unsecured receivables (certain receivables are allowable for the first 30 days)</w:t>
            </w:r>
            <w:r>
              <w:rPr>
                <w:rStyle w:val="paragraph122"/>
                <w:rFonts w:eastAsia="Times New Roman" w:cstheme="minorHAnsi"/>
                <w:sz w:val="18"/>
                <w:szCs w:val="18"/>
                <w:specVanish w:val="0"/>
              </w:rPr>
              <w:t>)</w:t>
            </w:r>
            <w:r w:rsidRPr="00152CCA">
              <w:rPr>
                <w:rStyle w:val="paragraph122"/>
                <w:rFonts w:eastAsia="Times New Roman" w:cstheme="minorHAnsi"/>
                <w:sz w:val="18"/>
                <w:szCs w:val="18"/>
                <w:specVanish w:val="0"/>
              </w:rPr>
              <w:t xml:space="preserve">. </w:t>
            </w:r>
          </w:p>
          <w:p w14:paraId="69ACBC05" w14:textId="77777777" w:rsidR="00651D6B" w:rsidRPr="00152CCA" w:rsidRDefault="00651D6B" w:rsidP="00E26D05">
            <w:pPr>
              <w:rPr>
                <w:rFonts w:cstheme="minorHAnsi"/>
                <w:sz w:val="18"/>
                <w:szCs w:val="18"/>
              </w:rPr>
            </w:pPr>
          </w:p>
          <w:p w14:paraId="22B5F65E" w14:textId="77777777" w:rsidR="00651D6B" w:rsidRPr="00152CCA" w:rsidRDefault="00651D6B" w:rsidP="00E26D05">
            <w:pPr>
              <w:rPr>
                <w:rStyle w:val="paragraph122"/>
                <w:rFonts w:cstheme="minorHAnsi"/>
                <w:sz w:val="18"/>
                <w:szCs w:val="18"/>
              </w:rPr>
            </w:pPr>
            <w:r w:rsidRPr="00152CCA">
              <w:rPr>
                <w:rStyle w:val="paragraph123"/>
                <w:rFonts w:eastAsia="Times New Roman" w:cstheme="minorHAnsi"/>
                <w:i/>
                <w:iCs/>
                <w:sz w:val="18"/>
                <w:szCs w:val="18"/>
                <w:specVanish w:val="0"/>
              </w:rPr>
              <w:t>Other deductions and charges</w:t>
            </w:r>
            <w:r w:rsidRPr="00152CCA">
              <w:rPr>
                <w:rStyle w:val="paragraph123"/>
                <w:rFonts w:eastAsia="Times New Roman" w:cstheme="minorHAnsi"/>
                <w:sz w:val="18"/>
                <w:szCs w:val="18"/>
                <w:specVanish w:val="0"/>
              </w:rPr>
              <w:t xml:space="preserve"> are </w:t>
            </w:r>
            <w:r w:rsidRPr="00152CCA">
              <w:rPr>
                <w:rStyle w:val="paragraph122"/>
                <w:rFonts w:cstheme="minorHAnsi"/>
                <w:sz w:val="18"/>
                <w:szCs w:val="18"/>
                <w:specVanish w:val="0"/>
              </w:rPr>
              <w:t xml:space="preserve">operational in nature and may involve off-balance sheet risk </w:t>
            </w:r>
            <w:r w:rsidRPr="00152CCA">
              <w:rPr>
                <w:rStyle w:val="paragraph122"/>
                <w:rFonts w:eastAsia="Times New Roman" w:cstheme="minorHAnsi"/>
                <w:sz w:val="18"/>
                <w:szCs w:val="18"/>
                <w:specVanish w:val="0"/>
              </w:rPr>
              <w:t xml:space="preserve">(e.g., </w:t>
            </w:r>
            <w:r w:rsidRPr="00152CCA">
              <w:rPr>
                <w:rStyle w:val="paragraph122"/>
                <w:rFonts w:cstheme="minorHAnsi"/>
                <w:sz w:val="18"/>
                <w:szCs w:val="18"/>
                <w:specVanish w:val="0"/>
              </w:rPr>
              <w:t>aged fails to deliver, over- or under-collateralized secured lending positions, and security count differences).</w:t>
            </w:r>
          </w:p>
          <w:p w14:paraId="39B932DD" w14:textId="77777777" w:rsidR="00651D6B" w:rsidRPr="00152CCA" w:rsidRDefault="00651D6B" w:rsidP="00E26D05">
            <w:pPr>
              <w:rPr>
                <w:rFonts w:cstheme="minorHAnsi"/>
                <w:sz w:val="18"/>
                <w:szCs w:val="18"/>
              </w:rPr>
            </w:pPr>
          </w:p>
        </w:tc>
        <w:tc>
          <w:tcPr>
            <w:tcW w:w="3060" w:type="dxa"/>
          </w:tcPr>
          <w:p w14:paraId="10E12367" w14:textId="77777777" w:rsidR="00651D6B" w:rsidRPr="00152CCA" w:rsidRDefault="00651D6B" w:rsidP="00E26D05">
            <w:pPr>
              <w:rPr>
                <w:b/>
                <w:bCs/>
                <w:i/>
                <w:iCs/>
                <w:sz w:val="18"/>
                <w:szCs w:val="18"/>
                <w:u w:val="single"/>
              </w:rPr>
            </w:pPr>
            <w:r w:rsidRPr="00152CCA">
              <w:rPr>
                <w:b/>
                <w:bCs/>
                <w:i/>
                <w:iCs/>
                <w:sz w:val="18"/>
                <w:szCs w:val="18"/>
                <w:u w:val="single"/>
              </w:rPr>
              <w:t>(c)(2)(iv) Assets Not Readily Convertible into Cash and related interpretations</w:t>
            </w:r>
          </w:p>
          <w:p w14:paraId="2817D51A" w14:textId="77777777" w:rsidR="00651D6B" w:rsidRPr="00152CCA" w:rsidRDefault="00651D6B" w:rsidP="00E26D05">
            <w:pPr>
              <w:rPr>
                <w:b/>
                <w:bCs/>
                <w:i/>
                <w:iCs/>
                <w:sz w:val="18"/>
                <w:szCs w:val="18"/>
                <w:u w:val="single"/>
              </w:rPr>
            </w:pPr>
          </w:p>
          <w:p w14:paraId="35570024" w14:textId="77777777" w:rsidR="00651D6B" w:rsidRPr="00152CCA" w:rsidRDefault="00651D6B" w:rsidP="00E26D05">
            <w:pPr>
              <w:rPr>
                <w:i/>
                <w:iCs/>
                <w:sz w:val="18"/>
                <w:szCs w:val="18"/>
                <w:u w:val="single"/>
              </w:rPr>
            </w:pPr>
            <w:r w:rsidRPr="00152CCA">
              <w:rPr>
                <w:i/>
                <w:iCs/>
                <w:sz w:val="18"/>
                <w:szCs w:val="18"/>
                <w:u w:val="single"/>
              </w:rPr>
              <w:t>(c)(2)(iv) (A) FIXED ASSETS AND PREPAID ITEMS</w:t>
            </w:r>
          </w:p>
          <w:p w14:paraId="65AD39AC" w14:textId="77777777" w:rsidR="00651D6B" w:rsidRPr="00152CCA" w:rsidRDefault="00651D6B" w:rsidP="00E26D05"/>
          <w:p w14:paraId="418A5819" w14:textId="77777777" w:rsidR="00651D6B" w:rsidRPr="00152CCA" w:rsidRDefault="00651D6B" w:rsidP="00E26D05">
            <w:pPr>
              <w:rPr>
                <w:i/>
                <w:iCs/>
                <w:sz w:val="18"/>
                <w:szCs w:val="18"/>
                <w:u w:val="single"/>
              </w:rPr>
            </w:pPr>
            <w:r w:rsidRPr="00152CCA">
              <w:rPr>
                <w:i/>
                <w:iCs/>
                <w:sz w:val="18"/>
                <w:szCs w:val="18"/>
                <w:u w:val="single"/>
              </w:rPr>
              <w:t>(c)(2)(iv) (B) CERTAIN UNSECURED AND PARTLY SECURED RECEIVABLES</w:t>
            </w:r>
          </w:p>
          <w:p w14:paraId="73627E09" w14:textId="77777777" w:rsidR="00651D6B" w:rsidRPr="00152CCA" w:rsidRDefault="00651D6B" w:rsidP="00E26D05"/>
          <w:p w14:paraId="248A2000" w14:textId="77777777" w:rsidR="00651D6B" w:rsidRPr="00152CCA" w:rsidRDefault="00651D6B" w:rsidP="00E26D05">
            <w:pPr>
              <w:rPr>
                <w:i/>
                <w:iCs/>
                <w:sz w:val="18"/>
                <w:szCs w:val="18"/>
                <w:u w:val="single"/>
              </w:rPr>
            </w:pPr>
            <w:r w:rsidRPr="00152CCA">
              <w:rPr>
                <w:i/>
                <w:iCs/>
                <w:sz w:val="18"/>
                <w:szCs w:val="18"/>
                <w:u w:val="single"/>
              </w:rPr>
              <w:t>(c)(2)(iv) (C) ASSETS NOT READILY CONVERTIBLE INTO CASH</w:t>
            </w:r>
          </w:p>
          <w:p w14:paraId="61FA55DF" w14:textId="77777777" w:rsidR="00651D6B" w:rsidRPr="00152CCA" w:rsidRDefault="00651D6B" w:rsidP="00E26D05">
            <w:pPr>
              <w:rPr>
                <w:i/>
                <w:iCs/>
                <w:sz w:val="18"/>
                <w:szCs w:val="18"/>
                <w:u w:val="single"/>
              </w:rPr>
            </w:pPr>
          </w:p>
          <w:p w14:paraId="5BBD3CDA" w14:textId="77777777" w:rsidR="00651D6B" w:rsidRPr="00152CCA" w:rsidRDefault="00651D6B" w:rsidP="00E26D05">
            <w:pPr>
              <w:rPr>
                <w:i/>
                <w:iCs/>
                <w:sz w:val="18"/>
                <w:szCs w:val="18"/>
                <w:u w:val="single"/>
              </w:rPr>
            </w:pPr>
            <w:r w:rsidRPr="00152CCA">
              <w:rPr>
                <w:i/>
                <w:iCs/>
                <w:sz w:val="18"/>
                <w:szCs w:val="18"/>
                <w:u w:val="single"/>
              </w:rPr>
              <w:t>(c)(2)(iv) (D)OTHER DEDUCTIONS</w:t>
            </w:r>
          </w:p>
          <w:p w14:paraId="05D4662B" w14:textId="77777777" w:rsidR="00651D6B" w:rsidRPr="00152CCA" w:rsidRDefault="00651D6B" w:rsidP="00E26D05">
            <w:pPr>
              <w:rPr>
                <w:i/>
                <w:iCs/>
                <w:sz w:val="18"/>
                <w:szCs w:val="18"/>
                <w:u w:val="single"/>
              </w:rPr>
            </w:pPr>
          </w:p>
          <w:p w14:paraId="40603379" w14:textId="77777777" w:rsidR="00651D6B" w:rsidRDefault="00651D6B" w:rsidP="00E26D05">
            <w:pPr>
              <w:rPr>
                <w:i/>
                <w:iCs/>
                <w:sz w:val="18"/>
                <w:szCs w:val="18"/>
                <w:u w:val="single"/>
              </w:rPr>
            </w:pPr>
            <w:r w:rsidRPr="00152CCA">
              <w:rPr>
                <w:i/>
                <w:iCs/>
                <w:sz w:val="18"/>
                <w:szCs w:val="18"/>
                <w:u w:val="single"/>
              </w:rPr>
              <w:t>(c)(2)(iv)(F) ASSETS NOT READILY CONVERTIBLE INTO CASH</w:t>
            </w:r>
          </w:p>
          <w:p w14:paraId="45A3771B" w14:textId="77777777" w:rsidR="00651D6B" w:rsidRPr="00152CCA" w:rsidRDefault="00651D6B" w:rsidP="00E26D05">
            <w:pPr>
              <w:rPr>
                <w:i/>
                <w:iCs/>
                <w:sz w:val="18"/>
                <w:szCs w:val="18"/>
                <w:u w:val="single"/>
              </w:rPr>
            </w:pPr>
          </w:p>
          <w:p w14:paraId="2B1D31F5" w14:textId="77777777" w:rsidR="00651D6B" w:rsidRPr="00152CCA" w:rsidRDefault="00651D6B" w:rsidP="00E26D05">
            <w:r w:rsidRPr="00152CCA">
              <w:rPr>
                <w:i/>
                <w:iCs/>
                <w:sz w:val="18"/>
                <w:szCs w:val="18"/>
                <w:u w:val="single"/>
              </w:rPr>
              <w:t>(c)(2)(</w:t>
            </w:r>
            <w:r w:rsidRPr="00152CCA">
              <w:rPr>
                <w:sz w:val="23"/>
                <w:szCs w:val="23"/>
              </w:rPr>
              <w:t>v</w:t>
            </w:r>
            <w:r w:rsidRPr="00152CCA">
              <w:rPr>
                <w:i/>
                <w:iCs/>
                <w:sz w:val="18"/>
                <w:szCs w:val="18"/>
                <w:u w:val="single"/>
              </w:rPr>
              <w:t>) SECURITIES DIFFERENCES</w:t>
            </w:r>
          </w:p>
        </w:tc>
        <w:tc>
          <w:tcPr>
            <w:tcW w:w="2970" w:type="dxa"/>
          </w:tcPr>
          <w:p w14:paraId="1A12541B"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Nonallowable assets population has not been reconcilable to the underlying accounting records. </w:t>
            </w:r>
          </w:p>
          <w:p w14:paraId="4C3149F4" w14:textId="77777777" w:rsidR="00651D6B" w:rsidRPr="005A593B"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The broker-dealer is not in compliance with the </w:t>
            </w:r>
            <w:r>
              <w:rPr>
                <w:rFonts w:cstheme="minorHAnsi"/>
                <w:sz w:val="18"/>
                <w:szCs w:val="18"/>
              </w:rPr>
              <w:t>n</w:t>
            </w:r>
            <w:r w:rsidRPr="00152CCA">
              <w:rPr>
                <w:rFonts w:cstheme="minorHAnsi"/>
                <w:sz w:val="18"/>
                <w:szCs w:val="18"/>
              </w:rPr>
              <w:t xml:space="preserve">et </w:t>
            </w:r>
            <w:r>
              <w:rPr>
                <w:rFonts w:cstheme="minorHAnsi"/>
                <w:sz w:val="18"/>
                <w:szCs w:val="18"/>
              </w:rPr>
              <w:t>c</w:t>
            </w:r>
            <w:r w:rsidRPr="00152CCA">
              <w:rPr>
                <w:rFonts w:cstheme="minorHAnsi"/>
                <w:sz w:val="18"/>
                <w:szCs w:val="18"/>
              </w:rPr>
              <w:t xml:space="preserve">apital </w:t>
            </w:r>
            <w:r>
              <w:rPr>
                <w:rFonts w:cstheme="minorHAnsi"/>
                <w:sz w:val="18"/>
                <w:szCs w:val="18"/>
              </w:rPr>
              <w:t>r</w:t>
            </w:r>
            <w:r w:rsidRPr="00152CCA">
              <w:rPr>
                <w:rFonts w:cstheme="minorHAnsi"/>
                <w:sz w:val="18"/>
                <w:szCs w:val="18"/>
              </w:rPr>
              <w:t xml:space="preserve">ule because management </w:t>
            </w:r>
            <w:r w:rsidRPr="005A593B">
              <w:rPr>
                <w:rFonts w:cstheme="minorHAnsi"/>
                <w:sz w:val="18"/>
                <w:szCs w:val="18"/>
              </w:rPr>
              <w:t>misapplied the rule and have failed to identify certain material nonallowable assets.</w:t>
            </w:r>
          </w:p>
          <w:p w14:paraId="19EEEDAF" w14:textId="77777777" w:rsidR="00651D6B" w:rsidRPr="00152CCA" w:rsidRDefault="00651D6B" w:rsidP="00651D6B">
            <w:pPr>
              <w:pStyle w:val="ListParagraph"/>
              <w:numPr>
                <w:ilvl w:val="0"/>
                <w:numId w:val="1"/>
              </w:numPr>
              <w:spacing w:after="240" w:line="240" w:lineRule="auto"/>
              <w:rPr>
                <w:rFonts w:cstheme="minorHAnsi"/>
                <w:sz w:val="18"/>
                <w:szCs w:val="18"/>
              </w:rPr>
            </w:pPr>
            <w:r w:rsidRPr="00364C8D">
              <w:rPr>
                <w:sz w:val="18"/>
                <w:szCs w:val="18"/>
              </w:rPr>
              <w:t>Securities</w:t>
            </w:r>
            <w:r w:rsidRPr="00152CCA">
              <w:rPr>
                <w:sz w:val="18"/>
                <w:szCs w:val="18"/>
              </w:rPr>
              <w:t xml:space="preserve"> borrowed deficit has not been deducted from the net worth because it was inappropriately offset against another securities l</w:t>
            </w:r>
            <w:r>
              <w:rPr>
                <w:sz w:val="18"/>
                <w:szCs w:val="18"/>
              </w:rPr>
              <w:t>e</w:t>
            </w:r>
            <w:r w:rsidRPr="00152CCA">
              <w:rPr>
                <w:sz w:val="18"/>
                <w:szCs w:val="18"/>
              </w:rPr>
              <w:t>nding position with a different counterparty</w:t>
            </w:r>
          </w:p>
          <w:p w14:paraId="7E211675"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Rebates and/or interest receivable balance aged over 30 days has not been classified as </w:t>
            </w:r>
            <w:r>
              <w:rPr>
                <w:rFonts w:cstheme="minorHAnsi"/>
                <w:sz w:val="18"/>
                <w:szCs w:val="18"/>
              </w:rPr>
              <w:t>a n</w:t>
            </w:r>
            <w:r w:rsidRPr="00152CCA">
              <w:rPr>
                <w:rFonts w:cstheme="minorHAnsi"/>
                <w:sz w:val="18"/>
                <w:szCs w:val="18"/>
              </w:rPr>
              <w:t xml:space="preserve">onallowable asset as specified in the </w:t>
            </w:r>
            <w:r>
              <w:rPr>
                <w:rFonts w:cstheme="minorHAnsi"/>
                <w:sz w:val="18"/>
                <w:szCs w:val="18"/>
              </w:rPr>
              <w:t>r</w:t>
            </w:r>
            <w:r w:rsidRPr="00152CCA">
              <w:rPr>
                <w:rFonts w:cstheme="minorHAnsi"/>
                <w:sz w:val="18"/>
                <w:szCs w:val="18"/>
              </w:rPr>
              <w:t>ule</w:t>
            </w:r>
          </w:p>
          <w:p w14:paraId="56677612"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A </w:t>
            </w:r>
            <w:r>
              <w:rPr>
                <w:rFonts w:cstheme="minorHAnsi"/>
                <w:sz w:val="18"/>
                <w:szCs w:val="18"/>
              </w:rPr>
              <w:t>n</w:t>
            </w:r>
            <w:r w:rsidRPr="00152CCA">
              <w:rPr>
                <w:rFonts w:cstheme="minorHAnsi"/>
                <w:sz w:val="18"/>
                <w:szCs w:val="18"/>
              </w:rPr>
              <w:t xml:space="preserve">onallowable assets population is not complete and </w:t>
            </w:r>
            <w:r>
              <w:rPr>
                <w:rFonts w:cstheme="minorHAnsi"/>
                <w:sz w:val="18"/>
                <w:szCs w:val="18"/>
              </w:rPr>
              <w:t>in</w:t>
            </w:r>
            <w:r w:rsidRPr="00152CCA">
              <w:rPr>
                <w:rFonts w:cstheme="minorHAnsi"/>
                <w:sz w:val="18"/>
                <w:szCs w:val="18"/>
              </w:rPr>
              <w:t>accurate because “securities” accounts with an affiliate have been inappropriately netted with accounts of other affiliates.</w:t>
            </w:r>
          </w:p>
          <w:p w14:paraId="5A297C36"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A </w:t>
            </w:r>
            <w:r>
              <w:rPr>
                <w:rFonts w:cstheme="minorHAnsi"/>
                <w:sz w:val="18"/>
                <w:szCs w:val="18"/>
              </w:rPr>
              <w:t>n</w:t>
            </w:r>
            <w:r w:rsidRPr="00152CCA">
              <w:rPr>
                <w:rFonts w:cstheme="minorHAnsi"/>
                <w:sz w:val="18"/>
                <w:szCs w:val="18"/>
              </w:rPr>
              <w:t xml:space="preserve">onallowable assets population is not complete and </w:t>
            </w:r>
            <w:r>
              <w:rPr>
                <w:rFonts w:cstheme="minorHAnsi"/>
                <w:sz w:val="18"/>
                <w:szCs w:val="18"/>
              </w:rPr>
              <w:t>in</w:t>
            </w:r>
            <w:r w:rsidRPr="00152CCA">
              <w:rPr>
                <w:rFonts w:cstheme="minorHAnsi"/>
                <w:sz w:val="18"/>
                <w:szCs w:val="18"/>
              </w:rPr>
              <w:t xml:space="preserve">accurate because the mutual </w:t>
            </w:r>
            <w:r w:rsidRPr="00152CCA">
              <w:rPr>
                <w:rFonts w:cstheme="minorHAnsi"/>
                <w:sz w:val="18"/>
                <w:szCs w:val="18"/>
              </w:rPr>
              <w:lastRenderedPageBreak/>
              <w:t xml:space="preserve">fund concessions receivable balance outstanding over 30 days has not been classified as </w:t>
            </w:r>
            <w:r>
              <w:rPr>
                <w:rFonts w:cstheme="minorHAnsi"/>
                <w:sz w:val="18"/>
                <w:szCs w:val="18"/>
              </w:rPr>
              <w:t>n</w:t>
            </w:r>
            <w:r w:rsidRPr="00152CCA">
              <w:rPr>
                <w:rFonts w:cstheme="minorHAnsi"/>
                <w:sz w:val="18"/>
                <w:szCs w:val="18"/>
              </w:rPr>
              <w:t>onallowable.</w:t>
            </w:r>
          </w:p>
          <w:p w14:paraId="048EFE22"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A </w:t>
            </w:r>
            <w:r>
              <w:rPr>
                <w:rFonts w:cstheme="minorHAnsi"/>
                <w:sz w:val="18"/>
                <w:szCs w:val="18"/>
              </w:rPr>
              <w:t>n</w:t>
            </w:r>
            <w:r w:rsidRPr="00152CCA">
              <w:rPr>
                <w:rFonts w:cstheme="minorHAnsi"/>
                <w:sz w:val="18"/>
                <w:szCs w:val="18"/>
              </w:rPr>
              <w:t xml:space="preserve">onallowable assets population is not complete and </w:t>
            </w:r>
            <w:r>
              <w:rPr>
                <w:rFonts w:cstheme="minorHAnsi"/>
                <w:sz w:val="18"/>
                <w:szCs w:val="18"/>
              </w:rPr>
              <w:t>in</w:t>
            </w:r>
            <w:r w:rsidRPr="00152CCA">
              <w:rPr>
                <w:rFonts w:cstheme="minorHAnsi"/>
                <w:sz w:val="18"/>
                <w:szCs w:val="18"/>
              </w:rPr>
              <w:t>accurate because the stock loaned positions collateralized by a letter of credit ha</w:t>
            </w:r>
            <w:r>
              <w:rPr>
                <w:rFonts w:cstheme="minorHAnsi"/>
                <w:sz w:val="18"/>
                <w:szCs w:val="18"/>
              </w:rPr>
              <w:t>ve</w:t>
            </w:r>
            <w:r w:rsidRPr="00152CCA">
              <w:rPr>
                <w:rFonts w:cstheme="minorHAnsi"/>
                <w:sz w:val="18"/>
                <w:szCs w:val="18"/>
              </w:rPr>
              <w:t xml:space="preserve"> not been deducted from the broker’s net worth. </w:t>
            </w:r>
          </w:p>
          <w:p w14:paraId="7CB82202"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A </w:t>
            </w:r>
            <w:r>
              <w:rPr>
                <w:rFonts w:cstheme="minorHAnsi"/>
                <w:sz w:val="18"/>
                <w:szCs w:val="18"/>
              </w:rPr>
              <w:t>n</w:t>
            </w:r>
            <w:r w:rsidRPr="00152CCA">
              <w:rPr>
                <w:rFonts w:cstheme="minorHAnsi"/>
                <w:sz w:val="18"/>
                <w:szCs w:val="18"/>
              </w:rPr>
              <w:t xml:space="preserve">onallowable assets population is not complete and </w:t>
            </w:r>
            <w:r>
              <w:rPr>
                <w:rFonts w:cstheme="minorHAnsi"/>
                <w:sz w:val="18"/>
                <w:szCs w:val="18"/>
              </w:rPr>
              <w:t>in</w:t>
            </w:r>
            <w:r w:rsidRPr="00152CCA">
              <w:rPr>
                <w:rFonts w:cstheme="minorHAnsi"/>
                <w:sz w:val="18"/>
                <w:szCs w:val="18"/>
              </w:rPr>
              <w:t>accurate because the</w:t>
            </w:r>
            <w:r w:rsidRPr="00152CCA">
              <w:rPr>
                <w:sz w:val="18"/>
                <w:szCs w:val="18"/>
              </w:rPr>
              <w:t xml:space="preserve"> introducing broker has treated commissions receivables from a clearing broker aged over 30 days as allowable assets without receiving a written notification from the clearing broker. </w:t>
            </w:r>
          </w:p>
          <w:p w14:paraId="3EFDA7C1" w14:textId="77777777" w:rsidR="00651D6B" w:rsidRPr="00152CCA" w:rsidRDefault="00651D6B" w:rsidP="00651D6B">
            <w:pPr>
              <w:pStyle w:val="ListParagraph"/>
              <w:numPr>
                <w:ilvl w:val="0"/>
                <w:numId w:val="1"/>
              </w:numPr>
              <w:spacing w:after="240" w:line="240" w:lineRule="auto"/>
              <w:rPr>
                <w:sz w:val="18"/>
                <w:szCs w:val="18"/>
              </w:rPr>
            </w:pPr>
            <w:r w:rsidRPr="00152CCA">
              <w:rPr>
                <w:sz w:val="18"/>
                <w:szCs w:val="18"/>
              </w:rPr>
              <w:t xml:space="preserve">A broker-dealer’s net worth is overstated because </w:t>
            </w:r>
            <w:r>
              <w:rPr>
                <w:sz w:val="18"/>
                <w:szCs w:val="18"/>
              </w:rPr>
              <w:t>the firm</w:t>
            </w:r>
            <w:r w:rsidRPr="00152CCA">
              <w:rPr>
                <w:sz w:val="18"/>
                <w:szCs w:val="18"/>
              </w:rPr>
              <w:t xml:space="preserve"> doesn’t have processes and controls in place that enable it </w:t>
            </w:r>
            <w:r>
              <w:rPr>
                <w:sz w:val="18"/>
                <w:szCs w:val="18"/>
              </w:rPr>
              <w:t>to</w:t>
            </w:r>
            <w:r w:rsidRPr="00152CCA">
              <w:rPr>
                <w:sz w:val="18"/>
                <w:szCs w:val="18"/>
              </w:rPr>
              <w:t xml:space="preserve"> monitor and identif</w:t>
            </w:r>
            <w:r>
              <w:rPr>
                <w:sz w:val="18"/>
                <w:szCs w:val="18"/>
              </w:rPr>
              <w:t>y</w:t>
            </w:r>
            <w:r w:rsidRPr="00152CCA">
              <w:rPr>
                <w:sz w:val="18"/>
                <w:szCs w:val="18"/>
              </w:rPr>
              <w:t xml:space="preserve"> the collateral deficit on reverse repurchase transactions.  </w:t>
            </w:r>
          </w:p>
          <w:p w14:paraId="241968DD" w14:textId="77777777" w:rsidR="00651D6B" w:rsidRPr="00152CCA" w:rsidRDefault="00651D6B" w:rsidP="00651D6B">
            <w:pPr>
              <w:pStyle w:val="ListParagraph"/>
              <w:numPr>
                <w:ilvl w:val="0"/>
                <w:numId w:val="1"/>
              </w:numPr>
              <w:spacing w:after="240" w:line="240" w:lineRule="auto"/>
            </w:pPr>
            <w:r w:rsidRPr="00152CCA">
              <w:rPr>
                <w:sz w:val="18"/>
                <w:szCs w:val="18"/>
              </w:rPr>
              <w:t>A broker</w:t>
            </w:r>
            <w:r>
              <w:rPr>
                <w:sz w:val="18"/>
                <w:szCs w:val="18"/>
              </w:rPr>
              <w:t>-</w:t>
            </w:r>
            <w:r w:rsidRPr="00152CCA">
              <w:rPr>
                <w:sz w:val="18"/>
                <w:szCs w:val="18"/>
              </w:rPr>
              <w:t xml:space="preserve">dealer’s net capital is not accurate because </w:t>
            </w:r>
            <w:r>
              <w:rPr>
                <w:sz w:val="18"/>
                <w:szCs w:val="18"/>
              </w:rPr>
              <w:t xml:space="preserve">the firm </w:t>
            </w:r>
            <w:r w:rsidRPr="00152CCA">
              <w:rPr>
                <w:sz w:val="18"/>
                <w:szCs w:val="18"/>
              </w:rPr>
              <w:t>has not deducted securities differences from its net worth calculation as required by the Rule</w:t>
            </w:r>
            <w:r>
              <w:rPr>
                <w:sz w:val="18"/>
                <w:szCs w:val="18"/>
              </w:rPr>
              <w:t>.</w:t>
            </w:r>
          </w:p>
        </w:tc>
      </w:tr>
      <w:tr w:rsidR="00651D6B" w14:paraId="0FD53A8C" w14:textId="77777777" w:rsidTr="00E26D05">
        <w:tc>
          <w:tcPr>
            <w:tcW w:w="9355" w:type="dxa"/>
            <w:gridSpan w:val="3"/>
          </w:tcPr>
          <w:p w14:paraId="7A89B442" w14:textId="77777777" w:rsidR="00651D6B" w:rsidRPr="00152CCA" w:rsidRDefault="00651D6B" w:rsidP="00E26D05">
            <w:pPr>
              <w:jc w:val="center"/>
            </w:pPr>
            <w:r w:rsidRPr="00764976">
              <w:rPr>
                <w:b/>
                <w:bCs/>
                <w:sz w:val="20"/>
                <w:szCs w:val="20"/>
              </w:rPr>
              <w:lastRenderedPageBreak/>
              <w:t>Securities Haircuts</w:t>
            </w:r>
          </w:p>
        </w:tc>
      </w:tr>
      <w:tr w:rsidR="00651D6B" w14:paraId="263A353B" w14:textId="77777777" w:rsidTr="00E26D05">
        <w:tc>
          <w:tcPr>
            <w:tcW w:w="3325" w:type="dxa"/>
          </w:tcPr>
          <w:p w14:paraId="0233B600" w14:textId="77777777" w:rsidR="00651D6B" w:rsidRPr="00152CCA" w:rsidRDefault="00651D6B" w:rsidP="00E26D05">
            <w:pPr>
              <w:rPr>
                <w:b/>
                <w:bCs/>
                <w:sz w:val="20"/>
                <w:szCs w:val="20"/>
              </w:rPr>
            </w:pPr>
            <w:r w:rsidRPr="00152CCA">
              <w:rPr>
                <w:b/>
                <w:bCs/>
                <w:sz w:val="20"/>
                <w:szCs w:val="20"/>
              </w:rPr>
              <w:t>Securities Haircuts</w:t>
            </w:r>
          </w:p>
          <w:p w14:paraId="14D9C6C4" w14:textId="77777777" w:rsidR="00651D6B" w:rsidRPr="00152CCA" w:rsidRDefault="00651D6B" w:rsidP="00E26D05">
            <w:pPr>
              <w:rPr>
                <w:sz w:val="18"/>
                <w:szCs w:val="18"/>
              </w:rPr>
            </w:pPr>
            <w:r w:rsidRPr="00152CCA">
              <w:rPr>
                <w:sz w:val="18"/>
                <w:szCs w:val="18"/>
              </w:rPr>
              <w:t>A broker</w:t>
            </w:r>
            <w:r>
              <w:rPr>
                <w:sz w:val="18"/>
                <w:szCs w:val="18"/>
              </w:rPr>
              <w:t>-</w:t>
            </w:r>
            <w:r w:rsidRPr="00152CCA">
              <w:rPr>
                <w:sz w:val="18"/>
                <w:szCs w:val="18"/>
              </w:rPr>
              <w:t>dealer's net capital computation is reduced by haircuts on its marketable securities and futures contracts. These haircuts provide a margin of safety against losses incurred by a broker or dealer as a result of market fluctuations in the prices of such securities and future contracts.</w:t>
            </w:r>
          </w:p>
          <w:p w14:paraId="01AAF97E" w14:textId="77777777" w:rsidR="00651D6B" w:rsidRPr="00152CCA" w:rsidRDefault="00651D6B" w:rsidP="00E26D05">
            <w:pPr>
              <w:pStyle w:val="CommentText"/>
              <w:rPr>
                <w:rFonts w:cstheme="minorHAnsi"/>
                <w:sz w:val="18"/>
                <w:szCs w:val="18"/>
              </w:rPr>
            </w:pPr>
          </w:p>
        </w:tc>
        <w:tc>
          <w:tcPr>
            <w:tcW w:w="3060" w:type="dxa"/>
          </w:tcPr>
          <w:p w14:paraId="1732084E" w14:textId="77777777" w:rsidR="00651D6B" w:rsidRPr="00152CCA" w:rsidRDefault="00651D6B" w:rsidP="00E26D05">
            <w:pPr>
              <w:pStyle w:val="Default"/>
              <w:rPr>
                <w:rFonts w:asciiTheme="minorHAnsi" w:hAnsiTheme="minorHAnsi" w:cstheme="minorHAnsi"/>
                <w:b/>
                <w:bCs/>
                <w:i/>
                <w:iCs/>
                <w:sz w:val="20"/>
                <w:szCs w:val="20"/>
              </w:rPr>
            </w:pPr>
            <w:r w:rsidRPr="00152CCA">
              <w:rPr>
                <w:rFonts w:asciiTheme="minorHAnsi" w:hAnsiTheme="minorHAnsi" w:cstheme="minorHAnsi"/>
                <w:b/>
                <w:bCs/>
                <w:i/>
                <w:iCs/>
                <w:sz w:val="20"/>
                <w:szCs w:val="20"/>
              </w:rPr>
              <w:t>15c3-1 (c)(2)(vi) and related interp.</w:t>
            </w:r>
          </w:p>
          <w:p w14:paraId="75754E49" w14:textId="77777777" w:rsidR="00651D6B" w:rsidRPr="00152CCA" w:rsidRDefault="00651D6B" w:rsidP="00E26D05">
            <w:pPr>
              <w:pStyle w:val="Default"/>
              <w:ind w:left="70"/>
              <w:rPr>
                <w:rFonts w:asciiTheme="minorHAnsi" w:hAnsiTheme="minorHAnsi" w:cstheme="minorHAnsi"/>
                <w:i/>
                <w:iCs/>
                <w:sz w:val="18"/>
                <w:szCs w:val="18"/>
                <w:u w:val="single"/>
              </w:rPr>
            </w:pPr>
            <w:r w:rsidRPr="00152CCA">
              <w:rPr>
                <w:rFonts w:asciiTheme="minorHAnsi" w:hAnsiTheme="minorHAnsi" w:cstheme="minorHAnsi"/>
                <w:i/>
                <w:iCs/>
                <w:sz w:val="18"/>
                <w:szCs w:val="18"/>
                <w:u w:val="single"/>
              </w:rPr>
              <w:t>Related Rules</w:t>
            </w:r>
          </w:p>
          <w:p w14:paraId="30492EF9" w14:textId="77777777" w:rsidR="00651D6B" w:rsidRDefault="00651D6B" w:rsidP="00E26D05">
            <w:pPr>
              <w:pStyle w:val="Default"/>
              <w:ind w:left="70"/>
              <w:rPr>
                <w:rFonts w:asciiTheme="minorHAnsi" w:hAnsiTheme="minorHAnsi" w:cstheme="minorHAnsi"/>
                <w:i/>
                <w:iCs/>
                <w:sz w:val="18"/>
                <w:szCs w:val="18"/>
              </w:rPr>
            </w:pPr>
            <w:r w:rsidRPr="00152CCA">
              <w:rPr>
                <w:rFonts w:asciiTheme="minorHAnsi" w:hAnsiTheme="minorHAnsi" w:cstheme="minorHAnsi"/>
                <w:i/>
                <w:iCs/>
                <w:sz w:val="18"/>
                <w:szCs w:val="18"/>
              </w:rPr>
              <w:t>(c)(2)(vii) Non-Marketable Securities</w:t>
            </w:r>
          </w:p>
          <w:p w14:paraId="029BC207" w14:textId="77777777" w:rsidR="00651D6B" w:rsidRPr="00152CCA" w:rsidRDefault="00651D6B" w:rsidP="00E26D05">
            <w:pPr>
              <w:pStyle w:val="Default"/>
              <w:ind w:left="70"/>
              <w:rPr>
                <w:rFonts w:asciiTheme="minorHAnsi" w:hAnsiTheme="minorHAnsi" w:cstheme="minorHAnsi"/>
                <w:i/>
                <w:iCs/>
                <w:sz w:val="18"/>
                <w:szCs w:val="18"/>
              </w:rPr>
            </w:pPr>
            <w:r w:rsidRPr="00152CCA">
              <w:rPr>
                <w:rFonts w:asciiTheme="minorHAnsi" w:hAnsiTheme="minorHAnsi" w:cstheme="minorHAnsi"/>
                <w:i/>
                <w:iCs/>
                <w:sz w:val="18"/>
                <w:szCs w:val="18"/>
              </w:rPr>
              <w:t xml:space="preserve"> </w:t>
            </w:r>
          </w:p>
          <w:p w14:paraId="2C6F4988" w14:textId="77777777" w:rsidR="00651D6B" w:rsidRPr="00152CCA" w:rsidRDefault="00651D6B" w:rsidP="00E26D05">
            <w:pPr>
              <w:pStyle w:val="Default"/>
              <w:ind w:left="70"/>
              <w:rPr>
                <w:rFonts w:asciiTheme="minorHAnsi" w:hAnsiTheme="minorHAnsi" w:cstheme="minorHAnsi"/>
                <w:i/>
                <w:iCs/>
                <w:sz w:val="18"/>
                <w:szCs w:val="18"/>
              </w:rPr>
            </w:pPr>
            <w:r w:rsidRPr="00152CCA">
              <w:rPr>
                <w:rFonts w:asciiTheme="minorHAnsi" w:hAnsiTheme="minorHAnsi" w:cstheme="minorHAnsi"/>
                <w:i/>
                <w:iCs/>
                <w:sz w:val="18"/>
                <w:szCs w:val="18"/>
              </w:rPr>
              <w:t>(c)(2)(viii) Open Contractual Commitments</w:t>
            </w:r>
          </w:p>
          <w:p w14:paraId="4464A8B8" w14:textId="77777777" w:rsidR="00651D6B" w:rsidRDefault="00651D6B" w:rsidP="00E26D05">
            <w:pPr>
              <w:pStyle w:val="Default"/>
              <w:ind w:left="70"/>
              <w:rPr>
                <w:rFonts w:asciiTheme="minorHAnsi" w:hAnsiTheme="minorHAnsi" w:cstheme="minorHAnsi"/>
                <w:i/>
                <w:iCs/>
                <w:sz w:val="18"/>
                <w:szCs w:val="18"/>
              </w:rPr>
            </w:pPr>
          </w:p>
          <w:p w14:paraId="64A9822B" w14:textId="77777777" w:rsidR="00651D6B" w:rsidRPr="00152CCA" w:rsidRDefault="00651D6B" w:rsidP="00E26D05">
            <w:pPr>
              <w:pStyle w:val="Default"/>
              <w:ind w:left="70"/>
              <w:rPr>
                <w:rFonts w:asciiTheme="minorHAnsi" w:hAnsiTheme="minorHAnsi" w:cstheme="minorHAnsi"/>
                <w:i/>
                <w:iCs/>
                <w:sz w:val="18"/>
                <w:szCs w:val="18"/>
              </w:rPr>
            </w:pPr>
            <w:r w:rsidRPr="00152CCA">
              <w:rPr>
                <w:rFonts w:asciiTheme="minorHAnsi" w:hAnsiTheme="minorHAnsi" w:cstheme="minorHAnsi"/>
                <w:i/>
                <w:iCs/>
                <w:sz w:val="18"/>
                <w:szCs w:val="18"/>
              </w:rPr>
              <w:t xml:space="preserve">(c)(2)(ix) Aged Fail to Deliver Charges </w:t>
            </w:r>
          </w:p>
          <w:p w14:paraId="55F397F7" w14:textId="77777777" w:rsidR="00651D6B" w:rsidRPr="00152CCA" w:rsidRDefault="00651D6B" w:rsidP="00E26D05">
            <w:pPr>
              <w:pStyle w:val="Default"/>
              <w:ind w:left="70"/>
              <w:rPr>
                <w:rFonts w:asciiTheme="minorHAnsi" w:hAnsiTheme="minorHAnsi" w:cstheme="minorHAnsi"/>
                <w:i/>
                <w:iCs/>
                <w:sz w:val="18"/>
                <w:szCs w:val="18"/>
              </w:rPr>
            </w:pPr>
          </w:p>
          <w:p w14:paraId="7D19D198" w14:textId="77777777" w:rsidR="00651D6B" w:rsidRPr="00152CCA" w:rsidRDefault="00651D6B" w:rsidP="00E26D05">
            <w:pPr>
              <w:pStyle w:val="Default"/>
              <w:ind w:left="70"/>
              <w:rPr>
                <w:rFonts w:asciiTheme="minorHAnsi" w:hAnsiTheme="minorHAnsi" w:cstheme="minorHAnsi"/>
                <w:i/>
                <w:iCs/>
                <w:sz w:val="18"/>
                <w:szCs w:val="18"/>
              </w:rPr>
            </w:pPr>
            <w:r w:rsidRPr="00152CCA">
              <w:rPr>
                <w:rFonts w:asciiTheme="minorHAnsi" w:hAnsiTheme="minorHAnsi" w:cstheme="minorHAnsi"/>
                <w:i/>
                <w:iCs/>
                <w:sz w:val="18"/>
                <w:szCs w:val="18"/>
              </w:rPr>
              <w:t>15c3-1a (Appendix A) Options</w:t>
            </w:r>
          </w:p>
          <w:p w14:paraId="628A9F84" w14:textId="77777777" w:rsidR="00651D6B" w:rsidRDefault="00651D6B" w:rsidP="00E26D05">
            <w:pPr>
              <w:rPr>
                <w:rFonts w:cstheme="minorHAnsi"/>
                <w:i/>
                <w:iCs/>
                <w:sz w:val="18"/>
                <w:szCs w:val="18"/>
              </w:rPr>
            </w:pPr>
          </w:p>
          <w:p w14:paraId="7B1668FC" w14:textId="77777777" w:rsidR="00651D6B" w:rsidRPr="00152CCA" w:rsidRDefault="00651D6B" w:rsidP="00E26D05">
            <w:r w:rsidRPr="00152CCA">
              <w:rPr>
                <w:rFonts w:cstheme="minorHAnsi"/>
                <w:i/>
                <w:iCs/>
                <w:sz w:val="18"/>
                <w:szCs w:val="18"/>
              </w:rPr>
              <w:t>15c3-1b (Appendix B) Adjustments to Net Worth and Aggregate Indebtedness for Certain Commodities Transactions</w:t>
            </w:r>
          </w:p>
        </w:tc>
        <w:tc>
          <w:tcPr>
            <w:tcW w:w="2970" w:type="dxa"/>
          </w:tcPr>
          <w:p w14:paraId="25C68A2D"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The population of proprietary positions </w:t>
            </w:r>
            <w:r>
              <w:rPr>
                <w:rFonts w:cstheme="minorHAnsi"/>
                <w:sz w:val="18"/>
                <w:szCs w:val="18"/>
              </w:rPr>
              <w:t>to</w:t>
            </w:r>
            <w:r w:rsidRPr="00152CCA">
              <w:rPr>
                <w:rFonts w:cstheme="minorHAnsi"/>
                <w:sz w:val="18"/>
                <w:szCs w:val="18"/>
              </w:rPr>
              <w:t xml:space="preserve"> which haircut charges are applied does not reconcile to the financial statements or underlying accounting records</w:t>
            </w:r>
            <w:r>
              <w:rPr>
                <w:rFonts w:cstheme="minorHAnsi"/>
                <w:sz w:val="18"/>
                <w:szCs w:val="18"/>
              </w:rPr>
              <w:t>.</w:t>
            </w:r>
            <w:r w:rsidRPr="00152CCA">
              <w:rPr>
                <w:rFonts w:cstheme="minorHAnsi"/>
                <w:sz w:val="18"/>
                <w:szCs w:val="18"/>
              </w:rPr>
              <w:t xml:space="preserve"> </w:t>
            </w:r>
          </w:p>
          <w:p w14:paraId="4CAFB949"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Calculation of haircut charges is not accurate based on security or contract type</w:t>
            </w:r>
            <w:r>
              <w:rPr>
                <w:rFonts w:cstheme="minorHAnsi"/>
                <w:sz w:val="18"/>
                <w:szCs w:val="18"/>
              </w:rPr>
              <w:t>.</w:t>
            </w:r>
          </w:p>
          <w:p w14:paraId="0C6416AA"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 xml:space="preserve">Haircut charges are not determined in accordance with the </w:t>
            </w:r>
            <w:r>
              <w:rPr>
                <w:rFonts w:cstheme="minorHAnsi"/>
                <w:sz w:val="18"/>
                <w:szCs w:val="18"/>
              </w:rPr>
              <w:t>r</w:t>
            </w:r>
            <w:r w:rsidRPr="00152CCA">
              <w:rPr>
                <w:rFonts w:cstheme="minorHAnsi"/>
                <w:sz w:val="18"/>
                <w:szCs w:val="18"/>
              </w:rPr>
              <w:t>ule.</w:t>
            </w:r>
          </w:p>
          <w:p w14:paraId="76C635DF"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Significant positions are not appropriately identified for undue concentration charge calculation</w:t>
            </w:r>
            <w:r>
              <w:rPr>
                <w:rFonts w:cstheme="minorHAnsi"/>
                <w:sz w:val="18"/>
                <w:szCs w:val="18"/>
              </w:rPr>
              <w:t>.</w:t>
            </w:r>
          </w:p>
          <w:p w14:paraId="2D0D9C1B"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Lack of marketability of certain securities is not identified in accordance with the Rule</w:t>
            </w:r>
            <w:r>
              <w:rPr>
                <w:rFonts w:cstheme="minorHAnsi"/>
                <w:sz w:val="18"/>
                <w:szCs w:val="18"/>
              </w:rPr>
              <w:t>,</w:t>
            </w:r>
            <w:r w:rsidRPr="00152CCA">
              <w:rPr>
                <w:rFonts w:cstheme="minorHAnsi"/>
                <w:sz w:val="18"/>
                <w:szCs w:val="18"/>
              </w:rPr>
              <w:t xml:space="preserve"> therefore</w:t>
            </w:r>
            <w:r>
              <w:rPr>
                <w:rFonts w:cstheme="minorHAnsi"/>
                <w:sz w:val="18"/>
                <w:szCs w:val="18"/>
              </w:rPr>
              <w:t>,</w:t>
            </w:r>
            <w:r w:rsidRPr="00152CCA">
              <w:rPr>
                <w:rFonts w:cstheme="minorHAnsi"/>
                <w:sz w:val="18"/>
                <w:szCs w:val="18"/>
              </w:rPr>
              <w:t xml:space="preserve"> deductions to net capital are not complete and </w:t>
            </w:r>
            <w:r>
              <w:rPr>
                <w:rFonts w:cstheme="minorHAnsi"/>
                <w:sz w:val="18"/>
                <w:szCs w:val="18"/>
              </w:rPr>
              <w:t>in</w:t>
            </w:r>
            <w:r w:rsidRPr="00152CCA">
              <w:rPr>
                <w:rFonts w:cstheme="minorHAnsi"/>
                <w:sz w:val="18"/>
                <w:szCs w:val="18"/>
              </w:rPr>
              <w:t>accurate</w:t>
            </w:r>
            <w:r>
              <w:rPr>
                <w:rFonts w:cstheme="minorHAnsi"/>
                <w:sz w:val="18"/>
                <w:szCs w:val="18"/>
              </w:rPr>
              <w:t>.</w:t>
            </w:r>
          </w:p>
          <w:p w14:paraId="7E2A8774" w14:textId="77777777" w:rsidR="00651D6B" w:rsidRPr="00152CCA" w:rsidRDefault="00651D6B" w:rsidP="00651D6B">
            <w:pPr>
              <w:pStyle w:val="ListParagraph"/>
              <w:numPr>
                <w:ilvl w:val="0"/>
                <w:numId w:val="1"/>
              </w:numPr>
              <w:spacing w:after="240" w:line="240" w:lineRule="auto"/>
              <w:rPr>
                <w:rFonts w:cstheme="minorHAnsi"/>
                <w:sz w:val="18"/>
                <w:szCs w:val="18"/>
              </w:rPr>
            </w:pPr>
            <w:r w:rsidRPr="00152CCA">
              <w:rPr>
                <w:rFonts w:cstheme="minorHAnsi"/>
                <w:sz w:val="18"/>
                <w:szCs w:val="18"/>
              </w:rPr>
              <w:t>All open contractual commitments are not identified for calculation of required haircut charges</w:t>
            </w:r>
            <w:r>
              <w:rPr>
                <w:rFonts w:cstheme="minorHAnsi"/>
                <w:sz w:val="18"/>
                <w:szCs w:val="18"/>
              </w:rPr>
              <w:t>.</w:t>
            </w:r>
          </w:p>
          <w:p w14:paraId="409B7091" w14:textId="77777777" w:rsidR="00651D6B" w:rsidRPr="00152CCA" w:rsidRDefault="00651D6B" w:rsidP="00651D6B">
            <w:pPr>
              <w:pStyle w:val="ListParagraph"/>
              <w:numPr>
                <w:ilvl w:val="0"/>
                <w:numId w:val="1"/>
              </w:numPr>
              <w:spacing w:after="240" w:line="240" w:lineRule="auto"/>
            </w:pPr>
            <w:r w:rsidRPr="00152CCA">
              <w:rPr>
                <w:rFonts w:cstheme="minorHAnsi"/>
                <w:sz w:val="18"/>
                <w:szCs w:val="18"/>
              </w:rPr>
              <w:lastRenderedPageBreak/>
              <w:t>All fail</w:t>
            </w:r>
            <w:r>
              <w:rPr>
                <w:rFonts w:cstheme="minorHAnsi"/>
                <w:sz w:val="18"/>
                <w:szCs w:val="18"/>
              </w:rPr>
              <w:t>-</w:t>
            </w:r>
            <w:r w:rsidRPr="00152CCA">
              <w:rPr>
                <w:rFonts w:cstheme="minorHAnsi"/>
                <w:sz w:val="18"/>
                <w:szCs w:val="18"/>
              </w:rPr>
              <w:t>to</w:t>
            </w:r>
            <w:r>
              <w:rPr>
                <w:rFonts w:cstheme="minorHAnsi"/>
                <w:sz w:val="18"/>
                <w:szCs w:val="18"/>
              </w:rPr>
              <w:t>-</w:t>
            </w:r>
            <w:r w:rsidRPr="00152CCA">
              <w:rPr>
                <w:rFonts w:cstheme="minorHAnsi"/>
                <w:sz w:val="18"/>
                <w:szCs w:val="18"/>
              </w:rPr>
              <w:t xml:space="preserve">deliver positions outstanding for five or more business days are not appropriately identified. </w:t>
            </w:r>
          </w:p>
        </w:tc>
      </w:tr>
      <w:tr w:rsidR="00651D6B" w14:paraId="30896AD2" w14:textId="77777777" w:rsidTr="00E26D05">
        <w:tc>
          <w:tcPr>
            <w:tcW w:w="9355" w:type="dxa"/>
            <w:gridSpan w:val="3"/>
          </w:tcPr>
          <w:p w14:paraId="2218E802" w14:textId="77777777" w:rsidR="00651D6B" w:rsidRPr="00101586" w:rsidRDefault="00651D6B" w:rsidP="00E26D05">
            <w:pPr>
              <w:spacing w:after="240"/>
              <w:jc w:val="center"/>
              <w:rPr>
                <w:rFonts w:cstheme="minorHAnsi"/>
                <w:sz w:val="18"/>
                <w:szCs w:val="18"/>
              </w:rPr>
            </w:pPr>
            <w:r>
              <w:rPr>
                <w:b/>
              </w:rPr>
              <w:lastRenderedPageBreak/>
              <w:t>Aggregated Indebtedness</w:t>
            </w:r>
          </w:p>
        </w:tc>
      </w:tr>
      <w:tr w:rsidR="00651D6B" w14:paraId="2D0CFF47" w14:textId="77777777" w:rsidTr="00E26D05">
        <w:trPr>
          <w:trHeight w:val="3320"/>
        </w:trPr>
        <w:tc>
          <w:tcPr>
            <w:tcW w:w="3325" w:type="dxa"/>
          </w:tcPr>
          <w:p w14:paraId="22D3C8D1" w14:textId="77777777" w:rsidR="00651D6B" w:rsidRPr="00764976" w:rsidRDefault="00651D6B" w:rsidP="00E26D05">
            <w:pPr>
              <w:rPr>
                <w:bCs/>
                <w:sz w:val="18"/>
                <w:szCs w:val="18"/>
              </w:rPr>
            </w:pPr>
            <w:r w:rsidRPr="00764976">
              <w:rPr>
                <w:bCs/>
                <w:sz w:val="18"/>
                <w:szCs w:val="18"/>
              </w:rPr>
              <w:t xml:space="preserve">A broker-dealer is required to classify its money liabilities as aggregated indebtedness or non-aggregated indebtedness for purposes of calculating minimum net capital under the aggregated indebtedness standard. </w:t>
            </w:r>
          </w:p>
          <w:p w14:paraId="31CBBB31" w14:textId="77777777" w:rsidR="00651D6B" w:rsidRPr="00764976" w:rsidRDefault="00651D6B" w:rsidP="00E26D05">
            <w:pPr>
              <w:rPr>
                <w:bCs/>
                <w:sz w:val="18"/>
                <w:szCs w:val="18"/>
              </w:rPr>
            </w:pPr>
          </w:p>
          <w:p w14:paraId="6FD9024B" w14:textId="77777777" w:rsidR="00651D6B" w:rsidRPr="00764976" w:rsidRDefault="00651D6B" w:rsidP="00E26D05">
            <w:pPr>
              <w:rPr>
                <w:bCs/>
                <w:sz w:val="18"/>
                <w:szCs w:val="18"/>
              </w:rPr>
            </w:pPr>
            <w:r w:rsidRPr="00764976">
              <w:rPr>
                <w:sz w:val="18"/>
                <w:szCs w:val="18"/>
              </w:rPr>
              <w:t xml:space="preserve">Aggregate indebtedness consists of the total money liabilities of a broker-dealer arising in connection with any transaction whatsoever. There </w:t>
            </w:r>
            <w:r>
              <w:rPr>
                <w:sz w:val="18"/>
                <w:szCs w:val="18"/>
              </w:rPr>
              <w:t>is</w:t>
            </w:r>
            <w:r w:rsidRPr="00764976">
              <w:rPr>
                <w:sz w:val="18"/>
                <w:szCs w:val="18"/>
              </w:rPr>
              <w:t xml:space="preserve"> a number of specific exceptions, primarily related to circumstances in which the liability is collateralized or offset by a related proprietary position.</w:t>
            </w:r>
          </w:p>
        </w:tc>
        <w:tc>
          <w:tcPr>
            <w:tcW w:w="3060" w:type="dxa"/>
          </w:tcPr>
          <w:p w14:paraId="7339D9A0" w14:textId="77777777" w:rsidR="00651D6B" w:rsidRDefault="00651D6B" w:rsidP="00E26D05">
            <w:pPr>
              <w:pStyle w:val="Default"/>
              <w:rPr>
                <w:rFonts w:asciiTheme="minorHAnsi" w:hAnsiTheme="minorHAnsi" w:cstheme="minorHAnsi"/>
                <w:bCs/>
                <w:iCs/>
                <w:sz w:val="20"/>
                <w:szCs w:val="20"/>
                <w:highlight w:val="yellow"/>
              </w:rPr>
            </w:pPr>
          </w:p>
          <w:p w14:paraId="0D5EBC00" w14:textId="77777777" w:rsidR="00651D6B" w:rsidRPr="00A6225C" w:rsidRDefault="00651D6B" w:rsidP="00E26D05">
            <w:pPr>
              <w:pStyle w:val="Default"/>
              <w:rPr>
                <w:rFonts w:asciiTheme="minorHAnsi" w:hAnsiTheme="minorHAnsi" w:cstheme="minorHAnsi"/>
                <w:color w:val="auto"/>
                <w:sz w:val="18"/>
                <w:szCs w:val="18"/>
              </w:rPr>
            </w:pPr>
            <w:r w:rsidRPr="00A6225C">
              <w:rPr>
                <w:rFonts w:asciiTheme="minorHAnsi" w:hAnsiTheme="minorHAnsi" w:cstheme="minorHAnsi"/>
                <w:color w:val="auto"/>
                <w:sz w:val="18"/>
                <w:szCs w:val="18"/>
              </w:rPr>
              <w:t>(c)(1) DEFINITIONS; AGGREGATE INDEBTEDNESS and related interpretations</w:t>
            </w:r>
          </w:p>
          <w:p w14:paraId="065EFCA2" w14:textId="77777777" w:rsidR="00651D6B" w:rsidRPr="00A6225C" w:rsidRDefault="00651D6B" w:rsidP="00E26D05">
            <w:pPr>
              <w:pStyle w:val="Default"/>
              <w:rPr>
                <w:rFonts w:asciiTheme="minorHAnsi" w:hAnsiTheme="minorHAnsi" w:cstheme="minorHAnsi"/>
                <w:color w:val="auto"/>
                <w:sz w:val="18"/>
                <w:szCs w:val="18"/>
              </w:rPr>
            </w:pPr>
          </w:p>
          <w:p w14:paraId="050E81E9" w14:textId="77777777" w:rsidR="00651D6B" w:rsidRPr="009F3BE6" w:rsidRDefault="00651D6B" w:rsidP="00E26D05">
            <w:pPr>
              <w:pStyle w:val="Default"/>
              <w:rPr>
                <w:rFonts w:asciiTheme="minorHAnsi" w:hAnsiTheme="minorHAnsi" w:cstheme="minorHAnsi"/>
                <w:bCs/>
                <w:iCs/>
                <w:sz w:val="20"/>
                <w:szCs w:val="20"/>
              </w:rPr>
            </w:pPr>
            <w:r w:rsidRPr="00A6225C">
              <w:rPr>
                <w:rFonts w:asciiTheme="minorHAnsi" w:hAnsiTheme="minorHAnsi" w:cstheme="minorHAnsi"/>
                <w:i/>
                <w:iCs/>
                <w:color w:val="auto"/>
                <w:sz w:val="18"/>
                <w:szCs w:val="18"/>
              </w:rPr>
              <w:t>c)(1)(i through xv) DEFINITIONS; EXCLUSIONS FROM AGGREGATE INDEBTEDNESS and related interpretations</w:t>
            </w:r>
          </w:p>
        </w:tc>
        <w:tc>
          <w:tcPr>
            <w:tcW w:w="2970" w:type="dxa"/>
          </w:tcPr>
          <w:p w14:paraId="189A7DD2" w14:textId="77777777" w:rsidR="00651D6B" w:rsidRPr="00314518" w:rsidRDefault="00651D6B" w:rsidP="00651D6B">
            <w:pPr>
              <w:pStyle w:val="ListParagraph"/>
              <w:numPr>
                <w:ilvl w:val="0"/>
                <w:numId w:val="1"/>
              </w:numPr>
              <w:spacing w:after="240" w:line="240" w:lineRule="auto"/>
              <w:rPr>
                <w:rFonts w:cstheme="minorHAnsi"/>
                <w:sz w:val="18"/>
                <w:szCs w:val="18"/>
              </w:rPr>
            </w:pPr>
            <w:r>
              <w:rPr>
                <w:rFonts w:cstheme="minorHAnsi"/>
                <w:sz w:val="18"/>
                <w:szCs w:val="18"/>
              </w:rPr>
              <w:t xml:space="preserve">The population of liabilities from which aggregated indebtedness is determined does not reconcile to the financial statements or underlying accounting records. </w:t>
            </w:r>
          </w:p>
          <w:p w14:paraId="79D9A146" w14:textId="77777777" w:rsidR="00651D6B" w:rsidRDefault="00651D6B" w:rsidP="00E26D05">
            <w:pPr>
              <w:pStyle w:val="ListParagraph"/>
              <w:spacing w:after="240" w:line="240" w:lineRule="auto"/>
              <w:ind w:left="360"/>
              <w:rPr>
                <w:rFonts w:cstheme="minorHAnsi"/>
                <w:sz w:val="18"/>
                <w:szCs w:val="18"/>
              </w:rPr>
            </w:pPr>
            <w:r>
              <w:rPr>
                <w:rFonts w:cstheme="minorHAnsi"/>
                <w:sz w:val="18"/>
                <w:szCs w:val="18"/>
              </w:rPr>
              <w:t>C</w:t>
            </w:r>
            <w:r w:rsidRPr="009F3BE6">
              <w:rPr>
                <w:rFonts w:cstheme="minorHAnsi"/>
                <w:sz w:val="18"/>
                <w:szCs w:val="18"/>
              </w:rPr>
              <w:t>ertain liabilities of the broker- dealer</w:t>
            </w:r>
            <w:r>
              <w:rPr>
                <w:rFonts w:cstheme="minorHAnsi"/>
                <w:sz w:val="18"/>
                <w:szCs w:val="18"/>
              </w:rPr>
              <w:t xml:space="preserve"> (e.g., f</w:t>
            </w:r>
            <w:r w:rsidRPr="0091645D">
              <w:rPr>
                <w:rFonts w:cstheme="minorHAnsi"/>
                <w:sz w:val="18"/>
                <w:szCs w:val="18"/>
              </w:rPr>
              <w:t xml:space="preserve">unds on </w:t>
            </w:r>
            <w:r>
              <w:rPr>
                <w:rFonts w:cstheme="minorHAnsi"/>
                <w:sz w:val="18"/>
                <w:szCs w:val="18"/>
              </w:rPr>
              <w:t>d</w:t>
            </w:r>
            <w:r w:rsidRPr="0091645D">
              <w:rPr>
                <w:rFonts w:cstheme="minorHAnsi"/>
                <w:sz w:val="18"/>
                <w:szCs w:val="18"/>
              </w:rPr>
              <w:t>eposit in a “Special Bank Account For The Exclusive Benefit Of Customers</w:t>
            </w:r>
            <w:r>
              <w:rPr>
                <w:rFonts w:cstheme="minorHAnsi"/>
                <w:sz w:val="18"/>
                <w:szCs w:val="18"/>
              </w:rPr>
              <w:t xml:space="preserve">”) </w:t>
            </w:r>
            <w:r w:rsidRPr="009F3BE6">
              <w:rPr>
                <w:rFonts w:cstheme="minorHAnsi"/>
                <w:sz w:val="18"/>
                <w:szCs w:val="18"/>
              </w:rPr>
              <w:t>have been inappropriately excluded from the aggregate indebtedness calculation</w:t>
            </w:r>
            <w:r>
              <w:rPr>
                <w:rFonts w:cstheme="minorHAnsi"/>
                <w:sz w:val="18"/>
                <w:szCs w:val="18"/>
              </w:rPr>
              <w:t>.</w:t>
            </w:r>
          </w:p>
        </w:tc>
      </w:tr>
      <w:tr w:rsidR="00651D6B" w14:paraId="27FD752A" w14:textId="77777777" w:rsidTr="00E26D05">
        <w:tc>
          <w:tcPr>
            <w:tcW w:w="9355" w:type="dxa"/>
            <w:gridSpan w:val="3"/>
          </w:tcPr>
          <w:p w14:paraId="66AA2294" w14:textId="77777777" w:rsidR="00651D6B" w:rsidRPr="00764976" w:rsidRDefault="00651D6B" w:rsidP="00E26D05">
            <w:pPr>
              <w:jc w:val="center"/>
              <w:rPr>
                <w:b/>
              </w:rPr>
            </w:pPr>
            <w:r w:rsidRPr="00764976">
              <w:rPr>
                <w:b/>
              </w:rPr>
              <w:t>Notification Requirements</w:t>
            </w:r>
          </w:p>
        </w:tc>
      </w:tr>
      <w:tr w:rsidR="00651D6B" w14:paraId="4B82E3C4" w14:textId="77777777" w:rsidTr="00E26D05">
        <w:tc>
          <w:tcPr>
            <w:tcW w:w="3325" w:type="dxa"/>
          </w:tcPr>
          <w:p w14:paraId="4184873A" w14:textId="77777777" w:rsidR="00651D6B" w:rsidRPr="00764976" w:rsidRDefault="00651D6B" w:rsidP="00E26D05">
            <w:pPr>
              <w:rPr>
                <w:rFonts w:cstheme="minorHAnsi"/>
                <w:sz w:val="18"/>
                <w:szCs w:val="18"/>
              </w:rPr>
            </w:pPr>
            <w:r w:rsidRPr="00764976">
              <w:rPr>
                <w:rFonts w:cstheme="minorHAnsi"/>
                <w:sz w:val="18"/>
                <w:szCs w:val="18"/>
              </w:rPr>
              <w:t>Notice Provisions Relating to the Limitations on the Withdrawal of Equity Capital:</w:t>
            </w:r>
          </w:p>
          <w:p w14:paraId="1444940A" w14:textId="77777777" w:rsidR="00651D6B" w:rsidRPr="00764976" w:rsidRDefault="00651D6B" w:rsidP="00E26D05">
            <w:pPr>
              <w:rPr>
                <w:rFonts w:cstheme="minorHAnsi"/>
                <w:sz w:val="18"/>
                <w:szCs w:val="18"/>
              </w:rPr>
            </w:pPr>
            <w:r w:rsidRPr="00764976">
              <w:rPr>
                <w:rFonts w:cstheme="minorHAnsi"/>
                <w:sz w:val="18"/>
                <w:szCs w:val="18"/>
              </w:rPr>
              <w:t xml:space="preserve">A broker-dealer is subject to notification of, or limitations on, capital withdrawals that reduce the excess </w:t>
            </w:r>
            <w:r>
              <w:rPr>
                <w:rFonts w:cstheme="minorHAnsi"/>
                <w:sz w:val="18"/>
                <w:szCs w:val="18"/>
              </w:rPr>
              <w:t>n</w:t>
            </w:r>
            <w:r w:rsidRPr="00764976">
              <w:rPr>
                <w:rFonts w:cstheme="minorHAnsi"/>
                <w:sz w:val="18"/>
                <w:szCs w:val="18"/>
              </w:rPr>
              <w:t xml:space="preserve">et </w:t>
            </w:r>
            <w:r>
              <w:rPr>
                <w:rFonts w:cstheme="minorHAnsi"/>
                <w:sz w:val="18"/>
                <w:szCs w:val="18"/>
              </w:rPr>
              <w:t>c</w:t>
            </w:r>
            <w:r w:rsidRPr="00764976">
              <w:rPr>
                <w:rFonts w:cstheme="minorHAnsi"/>
                <w:sz w:val="18"/>
                <w:szCs w:val="18"/>
              </w:rPr>
              <w:t xml:space="preserve">apital by various </w:t>
            </w:r>
            <w:proofErr w:type="gramStart"/>
            <w:r w:rsidRPr="00764976">
              <w:rPr>
                <w:rFonts w:cstheme="minorHAnsi"/>
                <w:sz w:val="18"/>
                <w:szCs w:val="18"/>
              </w:rPr>
              <w:t>percentages, or</w:t>
            </w:r>
            <w:proofErr w:type="gramEnd"/>
            <w:r w:rsidRPr="00764976">
              <w:rPr>
                <w:rFonts w:cstheme="minorHAnsi"/>
                <w:sz w:val="18"/>
                <w:szCs w:val="18"/>
              </w:rPr>
              <w:t xml:space="preserve"> are deemed by the SEC or its designated examining authority, to inhibit the ability to sustain the current business activities or meet the financial obligations of the broker-dealer. </w:t>
            </w:r>
          </w:p>
        </w:tc>
        <w:tc>
          <w:tcPr>
            <w:tcW w:w="3060" w:type="dxa"/>
          </w:tcPr>
          <w:p w14:paraId="25F0008D" w14:textId="77777777" w:rsidR="00651D6B" w:rsidRDefault="00651D6B" w:rsidP="00E26D05">
            <w:pPr>
              <w:rPr>
                <w:rFonts w:cstheme="minorHAnsi"/>
                <w:b/>
                <w:bCs/>
                <w:i/>
                <w:iCs/>
                <w:sz w:val="20"/>
                <w:szCs w:val="20"/>
              </w:rPr>
            </w:pPr>
            <w:r>
              <w:rPr>
                <w:rFonts w:cstheme="minorHAnsi"/>
                <w:b/>
                <w:bCs/>
                <w:i/>
                <w:iCs/>
                <w:sz w:val="20"/>
                <w:szCs w:val="20"/>
              </w:rPr>
              <w:t>15c3-1(e)</w:t>
            </w:r>
          </w:p>
          <w:p w14:paraId="0351EE8D" w14:textId="77777777" w:rsidR="00651D6B" w:rsidRDefault="00651D6B" w:rsidP="00E26D05">
            <w:pPr>
              <w:rPr>
                <w:rFonts w:cstheme="minorHAnsi"/>
                <w:b/>
                <w:bCs/>
                <w:i/>
                <w:iCs/>
                <w:sz w:val="20"/>
                <w:szCs w:val="20"/>
              </w:rPr>
            </w:pPr>
          </w:p>
          <w:p w14:paraId="79395C14" w14:textId="77777777" w:rsidR="00651D6B" w:rsidRDefault="00651D6B" w:rsidP="00E26D05">
            <w:pPr>
              <w:rPr>
                <w:rFonts w:cstheme="minorHAnsi"/>
                <w:b/>
                <w:bCs/>
                <w:i/>
                <w:iCs/>
                <w:sz w:val="20"/>
                <w:szCs w:val="20"/>
              </w:rPr>
            </w:pPr>
            <w:r w:rsidRPr="00364C8D">
              <w:rPr>
                <w:rFonts w:cstheme="minorHAnsi"/>
                <w:b/>
                <w:bCs/>
                <w:i/>
                <w:iCs/>
                <w:sz w:val="20"/>
                <w:szCs w:val="20"/>
              </w:rPr>
              <w:t>FINRA Rule 4110(c)</w:t>
            </w:r>
          </w:p>
          <w:p w14:paraId="288E68B3" w14:textId="77777777" w:rsidR="00651D6B" w:rsidRDefault="00651D6B" w:rsidP="00E26D05"/>
        </w:tc>
        <w:tc>
          <w:tcPr>
            <w:tcW w:w="2970" w:type="dxa"/>
          </w:tcPr>
          <w:p w14:paraId="7A536820" w14:textId="77777777" w:rsidR="00651D6B" w:rsidRDefault="00651D6B" w:rsidP="00651D6B">
            <w:pPr>
              <w:pStyle w:val="ListParagraph"/>
              <w:numPr>
                <w:ilvl w:val="0"/>
                <w:numId w:val="2"/>
              </w:numPr>
              <w:spacing w:line="240" w:lineRule="auto"/>
              <w:rPr>
                <w:sz w:val="18"/>
                <w:szCs w:val="18"/>
              </w:rPr>
            </w:pPr>
            <w:r>
              <w:rPr>
                <w:sz w:val="18"/>
                <w:szCs w:val="18"/>
              </w:rPr>
              <w:t>Withdrawal of equity capital is made without making proper notifications to the broker-dealer’s designated examining authority as required by the rule.</w:t>
            </w:r>
          </w:p>
          <w:p w14:paraId="6CCE904E" w14:textId="77777777" w:rsidR="00651D6B" w:rsidRPr="00C3799A" w:rsidRDefault="00651D6B" w:rsidP="00651D6B">
            <w:pPr>
              <w:pStyle w:val="ListParagraph"/>
              <w:numPr>
                <w:ilvl w:val="0"/>
                <w:numId w:val="2"/>
              </w:numPr>
              <w:spacing w:line="240" w:lineRule="auto"/>
              <w:rPr>
                <w:sz w:val="18"/>
                <w:szCs w:val="18"/>
              </w:rPr>
            </w:pPr>
            <w:r>
              <w:rPr>
                <w:sz w:val="18"/>
                <w:szCs w:val="18"/>
              </w:rPr>
              <w:t xml:space="preserve">Equity capital, which was contributed within the preceding 12 months, is withdrawn without written approval of the FINRA. </w:t>
            </w:r>
          </w:p>
        </w:tc>
      </w:tr>
    </w:tbl>
    <w:p w14:paraId="7768B18A" w14:textId="77777777" w:rsidR="00651D6B" w:rsidRDefault="00651D6B" w:rsidP="00651D6B">
      <w:pPr>
        <w:spacing w:line="240" w:lineRule="auto"/>
        <w:rPr>
          <w:b/>
        </w:rPr>
      </w:pPr>
    </w:p>
    <w:p w14:paraId="066FE516" w14:textId="77777777" w:rsidR="00651D6B" w:rsidRDefault="00651D6B" w:rsidP="00651D6B">
      <w:pPr>
        <w:spacing w:line="240" w:lineRule="auto"/>
        <w:rPr>
          <w:b/>
        </w:rPr>
      </w:pPr>
      <w:r>
        <w:rPr>
          <w:b/>
        </w:rPr>
        <w:br w:type="page"/>
      </w:r>
    </w:p>
    <w:tbl>
      <w:tblPr>
        <w:tblStyle w:val="TableGrid"/>
        <w:tblW w:w="9355" w:type="dxa"/>
        <w:tblLook w:val="04A0" w:firstRow="1" w:lastRow="0" w:firstColumn="1" w:lastColumn="0" w:noHBand="0" w:noVBand="1"/>
      </w:tblPr>
      <w:tblGrid>
        <w:gridCol w:w="3325"/>
        <w:gridCol w:w="3060"/>
        <w:gridCol w:w="2970"/>
      </w:tblGrid>
      <w:tr w:rsidR="00651D6B" w14:paraId="6B9EDDB8" w14:textId="77777777" w:rsidTr="00E26D05">
        <w:tc>
          <w:tcPr>
            <w:tcW w:w="3325" w:type="dxa"/>
          </w:tcPr>
          <w:p w14:paraId="0DB42A7A" w14:textId="77777777" w:rsidR="00651D6B" w:rsidRPr="007902C3" w:rsidRDefault="00651D6B" w:rsidP="00E26D05">
            <w:pPr>
              <w:rPr>
                <w:b/>
                <w:bCs/>
              </w:rPr>
            </w:pPr>
            <w:r w:rsidRPr="007902C3">
              <w:rPr>
                <w:b/>
                <w:bCs/>
              </w:rPr>
              <w:lastRenderedPageBreak/>
              <w:t>ICOC Rule Requirement</w:t>
            </w:r>
          </w:p>
        </w:tc>
        <w:tc>
          <w:tcPr>
            <w:tcW w:w="3060" w:type="dxa"/>
          </w:tcPr>
          <w:p w14:paraId="53CE479C" w14:textId="77777777" w:rsidR="00651D6B" w:rsidRPr="007902C3" w:rsidRDefault="00651D6B" w:rsidP="00E26D05">
            <w:pPr>
              <w:rPr>
                <w:b/>
                <w:bCs/>
              </w:rPr>
            </w:pPr>
            <w:r w:rsidRPr="007902C3">
              <w:rPr>
                <w:b/>
                <w:bCs/>
              </w:rPr>
              <w:t>Rule References</w:t>
            </w:r>
          </w:p>
        </w:tc>
        <w:tc>
          <w:tcPr>
            <w:tcW w:w="2970" w:type="dxa"/>
          </w:tcPr>
          <w:p w14:paraId="2B9E1BD7" w14:textId="77777777" w:rsidR="00651D6B" w:rsidRPr="00940F94" w:rsidRDefault="00651D6B" w:rsidP="00E26D05">
            <w:pPr>
              <w:rPr>
                <w:b/>
                <w:bCs/>
              </w:rPr>
            </w:pPr>
            <w:r w:rsidRPr="00940F94">
              <w:rPr>
                <w:b/>
                <w:bCs/>
              </w:rPr>
              <w:t>Illustrative compliance risk point</w:t>
            </w:r>
          </w:p>
        </w:tc>
      </w:tr>
      <w:tr w:rsidR="00651D6B" w14:paraId="093BD3AF" w14:textId="77777777" w:rsidTr="00E26D05">
        <w:tc>
          <w:tcPr>
            <w:tcW w:w="3325" w:type="dxa"/>
          </w:tcPr>
          <w:p w14:paraId="48ACDB26" w14:textId="77777777" w:rsidR="00651D6B" w:rsidRPr="007902C3" w:rsidRDefault="00651D6B" w:rsidP="00E26D05">
            <w:pPr>
              <w:rPr>
                <w:b/>
                <w:bCs/>
                <w:sz w:val="20"/>
                <w:szCs w:val="20"/>
              </w:rPr>
            </w:pPr>
            <w:r>
              <w:rPr>
                <w:b/>
                <w:bCs/>
                <w:sz w:val="20"/>
                <w:szCs w:val="20"/>
              </w:rPr>
              <w:t>Possession or control</w:t>
            </w:r>
          </w:p>
          <w:p w14:paraId="2A600BA9" w14:textId="77777777" w:rsidR="00651D6B" w:rsidRPr="007902C3" w:rsidRDefault="00651D6B" w:rsidP="00E26D05">
            <w:pPr>
              <w:rPr>
                <w:sz w:val="18"/>
                <w:szCs w:val="18"/>
              </w:rPr>
            </w:pPr>
            <w:r w:rsidRPr="0075121C">
              <w:rPr>
                <w:sz w:val="18"/>
                <w:szCs w:val="18"/>
              </w:rPr>
              <w:t xml:space="preserve">The SEC requires broker-dealers carrying accounts of </w:t>
            </w:r>
            <w:r>
              <w:rPr>
                <w:sz w:val="18"/>
                <w:szCs w:val="18"/>
              </w:rPr>
              <w:t>C</w:t>
            </w:r>
            <w:r w:rsidRPr="0075121C">
              <w:rPr>
                <w:sz w:val="18"/>
                <w:szCs w:val="18"/>
              </w:rPr>
              <w:t xml:space="preserve">ustomers and PAB to promptly obtain and thereafter maintain the physical possession or control of fully paid-for securities and excess-margin securities carried for the account of </w:t>
            </w:r>
            <w:r>
              <w:rPr>
                <w:sz w:val="18"/>
                <w:szCs w:val="18"/>
              </w:rPr>
              <w:t>C</w:t>
            </w:r>
            <w:r w:rsidRPr="0075121C">
              <w:rPr>
                <w:sz w:val="18"/>
                <w:szCs w:val="18"/>
              </w:rPr>
              <w:t>ustomers and PAB, as applicable</w:t>
            </w:r>
          </w:p>
        </w:tc>
        <w:tc>
          <w:tcPr>
            <w:tcW w:w="3060" w:type="dxa"/>
          </w:tcPr>
          <w:p w14:paraId="41AC177B" w14:textId="77777777" w:rsidR="00651D6B" w:rsidRDefault="00651D6B" w:rsidP="00E26D05">
            <w:pPr>
              <w:pStyle w:val="Default"/>
              <w:rPr>
                <w:rFonts w:asciiTheme="minorHAnsi" w:hAnsiTheme="minorHAnsi" w:cstheme="minorHAnsi"/>
                <w:b/>
                <w:bCs/>
                <w:i/>
                <w:iCs/>
                <w:sz w:val="20"/>
                <w:szCs w:val="20"/>
              </w:rPr>
            </w:pPr>
            <w:r w:rsidRPr="009A2BF5">
              <w:rPr>
                <w:rFonts w:asciiTheme="minorHAnsi" w:hAnsiTheme="minorHAnsi" w:cstheme="minorHAnsi"/>
                <w:b/>
                <w:bCs/>
                <w:i/>
                <w:iCs/>
                <w:sz w:val="20"/>
                <w:szCs w:val="20"/>
              </w:rPr>
              <w:t>15c3-</w:t>
            </w:r>
            <w:r>
              <w:rPr>
                <w:rFonts w:asciiTheme="minorHAnsi" w:hAnsiTheme="minorHAnsi" w:cstheme="minorHAnsi"/>
                <w:b/>
                <w:bCs/>
                <w:i/>
                <w:iCs/>
                <w:sz w:val="20"/>
                <w:szCs w:val="20"/>
              </w:rPr>
              <w:t>3</w:t>
            </w:r>
            <w:r w:rsidRPr="009A2BF5">
              <w:rPr>
                <w:rFonts w:asciiTheme="minorHAnsi" w:hAnsiTheme="minorHAnsi" w:cstheme="minorHAnsi"/>
                <w:b/>
                <w:bCs/>
                <w:i/>
                <w:iCs/>
                <w:sz w:val="20"/>
                <w:szCs w:val="20"/>
              </w:rPr>
              <w:t xml:space="preserve"> (</w:t>
            </w:r>
            <w:r>
              <w:rPr>
                <w:rFonts w:asciiTheme="minorHAnsi" w:hAnsiTheme="minorHAnsi" w:cstheme="minorHAnsi"/>
                <w:b/>
                <w:bCs/>
                <w:i/>
                <w:iCs/>
                <w:sz w:val="20"/>
                <w:szCs w:val="20"/>
              </w:rPr>
              <w:t>b) Physical possession or control of securities,</w:t>
            </w:r>
          </w:p>
          <w:p w14:paraId="020D8F4C"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 xml:space="preserve">15c3-3 (c) Control of securities, </w:t>
            </w:r>
          </w:p>
          <w:p w14:paraId="5D3F0045"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15c3-3 (d) Requirement to reduce securities to possession or control</w:t>
            </w:r>
          </w:p>
          <w:p w14:paraId="54FA309B"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15c3-3 (l) Delivery of securities</w:t>
            </w:r>
          </w:p>
          <w:p w14:paraId="1D279D7A"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15c3-3 (m) Completion of sell orders on behalf of customers</w:t>
            </w:r>
          </w:p>
          <w:p w14:paraId="13D10BC4"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15c3-3 (n) Extension of time</w:t>
            </w:r>
          </w:p>
          <w:p w14:paraId="55BD2BC1" w14:textId="77777777" w:rsidR="00651D6B" w:rsidRDefault="00651D6B" w:rsidP="00E26D05">
            <w:pPr>
              <w:pStyle w:val="Default"/>
              <w:rPr>
                <w:rFonts w:asciiTheme="minorHAnsi" w:hAnsiTheme="minorHAnsi" w:cstheme="minorHAnsi"/>
                <w:b/>
                <w:bCs/>
                <w:i/>
                <w:iCs/>
                <w:sz w:val="20"/>
                <w:szCs w:val="20"/>
              </w:rPr>
            </w:pPr>
            <w:r>
              <w:rPr>
                <w:rFonts w:asciiTheme="minorHAnsi" w:hAnsiTheme="minorHAnsi" w:cstheme="minorHAnsi"/>
                <w:b/>
                <w:bCs/>
                <w:i/>
                <w:iCs/>
                <w:sz w:val="20"/>
                <w:szCs w:val="20"/>
              </w:rPr>
              <w:t>15c3-3 (o) Security futures products</w:t>
            </w:r>
            <w:r w:rsidRPr="009A2BF5">
              <w:rPr>
                <w:rFonts w:asciiTheme="minorHAnsi" w:hAnsiTheme="minorHAnsi" w:cstheme="minorHAnsi"/>
                <w:b/>
                <w:bCs/>
                <w:i/>
                <w:iCs/>
                <w:sz w:val="20"/>
                <w:szCs w:val="20"/>
              </w:rPr>
              <w:t xml:space="preserve"> </w:t>
            </w:r>
          </w:p>
          <w:p w14:paraId="554464E0" w14:textId="77777777" w:rsidR="00651D6B" w:rsidRPr="009A2BF5" w:rsidRDefault="00651D6B" w:rsidP="00E26D05">
            <w:pPr>
              <w:pStyle w:val="Default"/>
              <w:rPr>
                <w:rFonts w:asciiTheme="minorHAnsi" w:hAnsiTheme="minorHAnsi" w:cstheme="minorHAnsi"/>
                <w:b/>
                <w:bCs/>
                <w:i/>
                <w:iCs/>
                <w:sz w:val="20"/>
                <w:szCs w:val="20"/>
              </w:rPr>
            </w:pPr>
            <w:r w:rsidRPr="009A2BF5">
              <w:rPr>
                <w:rFonts w:asciiTheme="minorHAnsi" w:hAnsiTheme="minorHAnsi" w:cstheme="minorHAnsi"/>
                <w:b/>
                <w:bCs/>
                <w:i/>
                <w:iCs/>
                <w:sz w:val="20"/>
                <w:szCs w:val="20"/>
              </w:rPr>
              <w:t>and related interp</w:t>
            </w:r>
            <w:r>
              <w:rPr>
                <w:rFonts w:asciiTheme="minorHAnsi" w:hAnsiTheme="minorHAnsi" w:cstheme="minorHAnsi"/>
                <w:b/>
                <w:bCs/>
                <w:i/>
                <w:iCs/>
                <w:sz w:val="20"/>
                <w:szCs w:val="20"/>
              </w:rPr>
              <w:t>retations</w:t>
            </w:r>
          </w:p>
          <w:p w14:paraId="3BDED671" w14:textId="77777777" w:rsidR="00651D6B" w:rsidRDefault="00651D6B" w:rsidP="00E26D05">
            <w:pPr>
              <w:pStyle w:val="Default"/>
              <w:ind w:left="70"/>
              <w:rPr>
                <w:rFonts w:asciiTheme="minorHAnsi" w:hAnsiTheme="minorHAnsi" w:cstheme="minorHAnsi"/>
                <w:i/>
                <w:iCs/>
                <w:sz w:val="18"/>
                <w:szCs w:val="18"/>
                <w:u w:val="single"/>
              </w:rPr>
            </w:pPr>
          </w:p>
          <w:p w14:paraId="6ED58A8F" w14:textId="77777777" w:rsidR="00651D6B" w:rsidRPr="005C3ECA" w:rsidRDefault="00651D6B" w:rsidP="00E26D05">
            <w:pPr>
              <w:pStyle w:val="Default"/>
              <w:ind w:left="70"/>
              <w:rPr>
                <w:rFonts w:asciiTheme="minorHAnsi" w:hAnsiTheme="minorHAnsi" w:cstheme="minorHAnsi"/>
                <w:i/>
                <w:iCs/>
                <w:sz w:val="18"/>
                <w:szCs w:val="18"/>
                <w:u w:val="single"/>
              </w:rPr>
            </w:pPr>
            <w:r w:rsidRPr="009A2BF5">
              <w:rPr>
                <w:rFonts w:asciiTheme="minorHAnsi" w:hAnsiTheme="minorHAnsi" w:cstheme="minorHAnsi"/>
                <w:i/>
                <w:iCs/>
                <w:sz w:val="18"/>
                <w:szCs w:val="18"/>
                <w:u w:val="single"/>
              </w:rPr>
              <w:t>Related Rules</w:t>
            </w:r>
          </w:p>
          <w:p w14:paraId="1131842B" w14:textId="77777777" w:rsidR="00651D6B" w:rsidRDefault="00651D6B" w:rsidP="00E26D05">
            <w:pPr>
              <w:pStyle w:val="Default"/>
              <w:ind w:left="70"/>
              <w:rPr>
                <w:rFonts w:asciiTheme="minorHAnsi" w:hAnsiTheme="minorHAnsi" w:cstheme="minorHAnsi"/>
                <w:i/>
                <w:iCs/>
                <w:sz w:val="18"/>
                <w:szCs w:val="18"/>
              </w:rPr>
            </w:pPr>
            <w:r>
              <w:rPr>
                <w:rFonts w:asciiTheme="minorHAnsi" w:hAnsiTheme="minorHAnsi" w:cstheme="minorHAnsi"/>
                <w:i/>
                <w:iCs/>
                <w:sz w:val="18"/>
                <w:szCs w:val="18"/>
              </w:rPr>
              <w:t>15c3-3(a)(3), (4), (5), and (5)/01 Margin account definitions and Amount in Excess of 140% of customer debit</w:t>
            </w:r>
          </w:p>
          <w:p w14:paraId="33A80E9C" w14:textId="77777777" w:rsidR="00651D6B" w:rsidRDefault="00651D6B" w:rsidP="00E26D05">
            <w:pPr>
              <w:pStyle w:val="Default"/>
              <w:ind w:left="70"/>
              <w:rPr>
                <w:rFonts w:asciiTheme="minorHAnsi" w:hAnsiTheme="minorHAnsi" w:cstheme="minorHAnsi"/>
                <w:i/>
                <w:iCs/>
                <w:sz w:val="18"/>
                <w:szCs w:val="18"/>
              </w:rPr>
            </w:pPr>
            <w:r w:rsidRPr="009A2BF5">
              <w:rPr>
                <w:rFonts w:asciiTheme="minorHAnsi" w:hAnsiTheme="minorHAnsi" w:cstheme="minorHAnsi"/>
                <w:i/>
                <w:iCs/>
                <w:sz w:val="18"/>
                <w:szCs w:val="18"/>
              </w:rPr>
              <w:t>15c3-</w:t>
            </w:r>
            <w:r>
              <w:rPr>
                <w:rFonts w:asciiTheme="minorHAnsi" w:hAnsiTheme="minorHAnsi" w:cstheme="minorHAnsi"/>
                <w:i/>
                <w:iCs/>
                <w:sz w:val="18"/>
                <w:szCs w:val="18"/>
              </w:rPr>
              <w:t>3(c)(1)/04</w:t>
            </w:r>
            <w:r w:rsidRPr="009A2BF5">
              <w:rPr>
                <w:rFonts w:asciiTheme="minorHAnsi" w:hAnsiTheme="minorHAnsi" w:cstheme="minorHAnsi"/>
                <w:i/>
                <w:iCs/>
                <w:sz w:val="18"/>
                <w:szCs w:val="18"/>
              </w:rPr>
              <w:t xml:space="preserve"> </w:t>
            </w:r>
            <w:r>
              <w:rPr>
                <w:rFonts w:asciiTheme="minorHAnsi" w:hAnsiTheme="minorHAnsi" w:cstheme="minorHAnsi"/>
                <w:i/>
                <w:iCs/>
                <w:sz w:val="18"/>
                <w:szCs w:val="18"/>
              </w:rPr>
              <w:t>Mutual Fund Shares – Uncertificated</w:t>
            </w:r>
          </w:p>
          <w:p w14:paraId="514537DC" w14:textId="77777777" w:rsidR="00651D6B" w:rsidRPr="008C7CBA" w:rsidRDefault="00651D6B" w:rsidP="00E26D05">
            <w:pPr>
              <w:pStyle w:val="Default"/>
              <w:ind w:left="70"/>
              <w:rPr>
                <w:rFonts w:asciiTheme="minorHAnsi" w:hAnsiTheme="minorHAnsi" w:cstheme="minorHAnsi"/>
                <w:i/>
                <w:iCs/>
                <w:sz w:val="18"/>
                <w:szCs w:val="18"/>
              </w:rPr>
            </w:pPr>
            <w:r w:rsidRPr="009A2BF5">
              <w:rPr>
                <w:rFonts w:asciiTheme="minorHAnsi" w:hAnsiTheme="minorHAnsi" w:cstheme="minorHAnsi"/>
                <w:i/>
                <w:iCs/>
                <w:sz w:val="18"/>
                <w:szCs w:val="18"/>
              </w:rPr>
              <w:t>15c3-</w:t>
            </w:r>
            <w:r>
              <w:rPr>
                <w:rFonts w:asciiTheme="minorHAnsi" w:hAnsiTheme="minorHAnsi" w:cstheme="minorHAnsi"/>
                <w:i/>
                <w:iCs/>
                <w:sz w:val="18"/>
                <w:szCs w:val="18"/>
              </w:rPr>
              <w:t>3(c)(1)/041</w:t>
            </w:r>
            <w:r w:rsidRPr="009A2BF5">
              <w:rPr>
                <w:rFonts w:asciiTheme="minorHAnsi" w:hAnsiTheme="minorHAnsi" w:cstheme="minorHAnsi"/>
                <w:i/>
                <w:iCs/>
                <w:sz w:val="18"/>
                <w:szCs w:val="18"/>
              </w:rPr>
              <w:t xml:space="preserve"> </w:t>
            </w:r>
            <w:r>
              <w:rPr>
                <w:rFonts w:asciiTheme="minorHAnsi" w:hAnsiTheme="minorHAnsi" w:cstheme="minorHAnsi"/>
                <w:i/>
                <w:iCs/>
                <w:sz w:val="18"/>
                <w:szCs w:val="18"/>
              </w:rPr>
              <w:t>Acknowledgement Letters 15c3-3(c)(4)/01 Custody of Foreign Securities</w:t>
            </w:r>
          </w:p>
        </w:tc>
        <w:tc>
          <w:tcPr>
            <w:tcW w:w="2970" w:type="dxa"/>
          </w:tcPr>
          <w:p w14:paraId="677CCDCF" w14:textId="77777777" w:rsidR="00651D6B" w:rsidRPr="00940F94" w:rsidRDefault="00651D6B" w:rsidP="00651D6B">
            <w:pPr>
              <w:pStyle w:val="ListParagraph"/>
              <w:numPr>
                <w:ilvl w:val="0"/>
                <w:numId w:val="1"/>
              </w:numPr>
              <w:spacing w:after="240" w:line="240" w:lineRule="auto"/>
              <w:rPr>
                <w:rFonts w:cstheme="minorHAnsi"/>
                <w:sz w:val="18"/>
                <w:szCs w:val="18"/>
              </w:rPr>
            </w:pPr>
            <w:r w:rsidRPr="00940F94">
              <w:rPr>
                <w:rFonts w:cstheme="minorHAnsi"/>
                <w:sz w:val="18"/>
                <w:szCs w:val="18"/>
              </w:rPr>
              <w:t>Customer cash and margin accounts are</w:t>
            </w:r>
            <w:r>
              <w:rPr>
                <w:rFonts w:cstheme="minorHAnsi"/>
                <w:sz w:val="18"/>
                <w:szCs w:val="18"/>
              </w:rPr>
              <w:t xml:space="preserve"> </w:t>
            </w:r>
            <w:r w:rsidRPr="0047785E">
              <w:rPr>
                <w:rFonts w:cstheme="minorHAnsi"/>
                <w:sz w:val="18"/>
                <w:szCs w:val="18"/>
              </w:rPr>
              <w:t>not appropriately designated by type or appropriately associated</w:t>
            </w:r>
            <w:r w:rsidRPr="00940F94">
              <w:rPr>
                <w:rFonts w:cstheme="minorHAnsi"/>
                <w:sz w:val="18"/>
                <w:szCs w:val="18"/>
              </w:rPr>
              <w:t xml:space="preserve"> in the back-o</w:t>
            </w:r>
            <w:r>
              <w:rPr>
                <w:rFonts w:cstheme="minorHAnsi"/>
                <w:sz w:val="18"/>
                <w:szCs w:val="18"/>
              </w:rPr>
              <w:t>ff</w:t>
            </w:r>
            <w:r w:rsidRPr="00940F94">
              <w:rPr>
                <w:rFonts w:cstheme="minorHAnsi"/>
                <w:sz w:val="18"/>
                <w:szCs w:val="18"/>
              </w:rPr>
              <w:t>ice system upon new account set-up or when changes are made to existing accounts.</w:t>
            </w:r>
          </w:p>
          <w:p w14:paraId="39F064B4" w14:textId="77777777" w:rsidR="00651D6B" w:rsidRPr="00D529DE" w:rsidRDefault="00651D6B" w:rsidP="00E26D05">
            <w:pPr>
              <w:spacing w:after="240"/>
              <w:rPr>
                <w:rFonts w:cstheme="minorHAnsi"/>
                <w:sz w:val="18"/>
                <w:szCs w:val="18"/>
                <w:u w:val="single"/>
              </w:rPr>
            </w:pPr>
            <w:r w:rsidRPr="00D529DE">
              <w:rPr>
                <w:rFonts w:cstheme="minorHAnsi"/>
                <w:sz w:val="18"/>
                <w:szCs w:val="18"/>
                <w:u w:val="single"/>
              </w:rPr>
              <w:t>Good control locations:</w:t>
            </w:r>
          </w:p>
          <w:p w14:paraId="56541373" w14:textId="77777777" w:rsidR="00651D6B" w:rsidRDefault="00651D6B" w:rsidP="00651D6B">
            <w:pPr>
              <w:pStyle w:val="ListParagraph"/>
              <w:numPr>
                <w:ilvl w:val="0"/>
                <w:numId w:val="1"/>
              </w:numPr>
              <w:spacing w:after="240" w:line="240" w:lineRule="auto"/>
              <w:rPr>
                <w:rFonts w:cstheme="minorHAnsi"/>
                <w:sz w:val="18"/>
                <w:szCs w:val="18"/>
              </w:rPr>
            </w:pPr>
            <w:r>
              <w:rPr>
                <w:rFonts w:cstheme="minorHAnsi"/>
                <w:sz w:val="18"/>
                <w:szCs w:val="18"/>
              </w:rPr>
              <w:t>Approval is not maintained for “good” control locations.</w:t>
            </w:r>
          </w:p>
          <w:p w14:paraId="727AF63F" w14:textId="77777777" w:rsidR="00651D6B" w:rsidRDefault="00651D6B" w:rsidP="00651D6B">
            <w:pPr>
              <w:pStyle w:val="ListParagraph"/>
              <w:numPr>
                <w:ilvl w:val="0"/>
                <w:numId w:val="1"/>
              </w:numPr>
              <w:spacing w:after="240" w:line="240" w:lineRule="auto"/>
              <w:rPr>
                <w:rFonts w:cstheme="minorHAnsi"/>
                <w:sz w:val="18"/>
                <w:szCs w:val="18"/>
              </w:rPr>
            </w:pPr>
            <w:r>
              <w:rPr>
                <w:rFonts w:cstheme="minorHAnsi"/>
                <w:sz w:val="18"/>
                <w:szCs w:val="18"/>
              </w:rPr>
              <w:t>Control locations are designated as a “good” control location, but do not meet the requirements.</w:t>
            </w:r>
          </w:p>
          <w:p w14:paraId="7245B60F" w14:textId="77777777" w:rsidR="00651D6B" w:rsidRPr="00D529DE" w:rsidRDefault="00651D6B" w:rsidP="00E26D05">
            <w:pPr>
              <w:spacing w:after="240"/>
              <w:rPr>
                <w:rFonts w:cstheme="minorHAnsi"/>
                <w:sz w:val="18"/>
                <w:szCs w:val="18"/>
                <w:u w:val="single"/>
              </w:rPr>
            </w:pPr>
            <w:r w:rsidRPr="00D529DE">
              <w:rPr>
                <w:rFonts w:cstheme="minorHAnsi"/>
                <w:sz w:val="18"/>
                <w:szCs w:val="18"/>
                <w:u w:val="single"/>
              </w:rPr>
              <w:t>Instructed segregation:</w:t>
            </w:r>
          </w:p>
          <w:p w14:paraId="7766624B" w14:textId="77777777" w:rsidR="00651D6B" w:rsidRPr="00E67C30" w:rsidRDefault="00651D6B" w:rsidP="00651D6B">
            <w:pPr>
              <w:pStyle w:val="ListParagraph"/>
              <w:numPr>
                <w:ilvl w:val="0"/>
                <w:numId w:val="1"/>
              </w:numPr>
              <w:spacing w:after="240" w:line="240" w:lineRule="auto"/>
              <w:rPr>
                <w:rFonts w:cstheme="minorHAnsi"/>
                <w:sz w:val="18"/>
                <w:szCs w:val="18"/>
              </w:rPr>
            </w:pPr>
            <w:r w:rsidRPr="00940F94">
              <w:rPr>
                <w:sz w:val="18"/>
                <w:szCs w:val="18"/>
              </w:rPr>
              <w:t>Instructions for segregation lockups/releases are not issued</w:t>
            </w:r>
            <w:r>
              <w:rPr>
                <w:sz w:val="18"/>
                <w:szCs w:val="18"/>
              </w:rPr>
              <w:t xml:space="preserve"> accurately or</w:t>
            </w:r>
            <w:r w:rsidRPr="00940F94">
              <w:rPr>
                <w:sz w:val="18"/>
                <w:szCs w:val="18"/>
              </w:rPr>
              <w:t xml:space="preserve"> in a timely manner</w:t>
            </w:r>
            <w:r>
              <w:rPr>
                <w:sz w:val="18"/>
                <w:szCs w:val="18"/>
              </w:rPr>
              <w:t>.</w:t>
            </w:r>
          </w:p>
          <w:p w14:paraId="2DD5D966" w14:textId="77777777" w:rsidR="00651D6B" w:rsidRDefault="00651D6B" w:rsidP="00651D6B">
            <w:pPr>
              <w:pStyle w:val="ListParagraph"/>
              <w:numPr>
                <w:ilvl w:val="0"/>
                <w:numId w:val="1"/>
              </w:numPr>
              <w:spacing w:after="240" w:line="240" w:lineRule="auto"/>
              <w:ind w:left="792"/>
              <w:rPr>
                <w:rFonts w:cstheme="minorHAnsi"/>
                <w:sz w:val="18"/>
                <w:szCs w:val="18"/>
              </w:rPr>
            </w:pPr>
            <w:r>
              <w:rPr>
                <w:rFonts w:cstheme="minorHAnsi"/>
                <w:sz w:val="18"/>
                <w:szCs w:val="18"/>
              </w:rPr>
              <w:t>Instruction for security loaned recalls or buy-ins are not issued within the prescribed timeframe or do not qualify for no-action relief.</w:t>
            </w:r>
          </w:p>
          <w:p w14:paraId="0001E52A" w14:textId="77777777" w:rsidR="00651D6B" w:rsidRDefault="00651D6B" w:rsidP="00651D6B">
            <w:pPr>
              <w:pStyle w:val="ListParagraph"/>
              <w:numPr>
                <w:ilvl w:val="0"/>
                <w:numId w:val="1"/>
              </w:numPr>
              <w:spacing w:after="240" w:line="240" w:lineRule="auto"/>
              <w:ind w:left="792"/>
              <w:rPr>
                <w:rFonts w:cstheme="minorHAnsi"/>
                <w:sz w:val="18"/>
                <w:szCs w:val="18"/>
              </w:rPr>
            </w:pPr>
            <w:r>
              <w:rPr>
                <w:rFonts w:cstheme="minorHAnsi"/>
                <w:sz w:val="18"/>
                <w:szCs w:val="18"/>
              </w:rPr>
              <w:t>Segregation instructions given to omnibus carrying broker by introducing firm are not accurately applied.</w:t>
            </w:r>
          </w:p>
          <w:p w14:paraId="63C13E31" w14:textId="77777777" w:rsidR="00651D6B" w:rsidRPr="00940F94" w:rsidRDefault="00651D6B" w:rsidP="00651D6B">
            <w:pPr>
              <w:pStyle w:val="ListParagraph"/>
              <w:numPr>
                <w:ilvl w:val="0"/>
                <w:numId w:val="1"/>
              </w:numPr>
              <w:spacing w:after="240" w:line="240" w:lineRule="auto"/>
              <w:rPr>
                <w:rFonts w:cstheme="minorHAnsi"/>
                <w:sz w:val="18"/>
                <w:szCs w:val="18"/>
              </w:rPr>
            </w:pPr>
            <w:r>
              <w:rPr>
                <w:rFonts w:cstheme="minorHAnsi"/>
                <w:sz w:val="18"/>
                <w:szCs w:val="18"/>
              </w:rPr>
              <w:t>Segregation priority is inaccurate resulting in a concentrated security supporting a margin debit.</w:t>
            </w:r>
          </w:p>
          <w:p w14:paraId="077BD804" w14:textId="77777777" w:rsidR="00651D6B" w:rsidRPr="00940F94" w:rsidRDefault="00651D6B" w:rsidP="00651D6B">
            <w:pPr>
              <w:pStyle w:val="ListParagraph"/>
              <w:numPr>
                <w:ilvl w:val="0"/>
                <w:numId w:val="1"/>
              </w:numPr>
              <w:spacing w:after="240" w:line="240" w:lineRule="auto"/>
              <w:rPr>
                <w:rFonts w:cstheme="minorHAnsi"/>
                <w:sz w:val="18"/>
                <w:szCs w:val="18"/>
              </w:rPr>
            </w:pPr>
            <w:r w:rsidRPr="00940F94">
              <w:rPr>
                <w:sz w:val="18"/>
                <w:szCs w:val="18"/>
              </w:rPr>
              <w:t>The segregation system creates an excess of securities for which there are delivery needs, eliminates a deficit or creates an excess in a given security by the reselection of securities designated for segregation in a customer’s margin account which creates or increases a deficit in another security in violation of the rule.</w:t>
            </w:r>
          </w:p>
          <w:p w14:paraId="351AB63E" w14:textId="77777777" w:rsidR="00651D6B" w:rsidRPr="00D529DE" w:rsidRDefault="00651D6B" w:rsidP="00E26D05">
            <w:pPr>
              <w:spacing w:after="240"/>
              <w:rPr>
                <w:rFonts w:cstheme="minorHAnsi"/>
                <w:sz w:val="18"/>
                <w:szCs w:val="18"/>
                <w:u w:val="single"/>
              </w:rPr>
            </w:pPr>
            <w:r w:rsidRPr="00D529DE">
              <w:rPr>
                <w:rFonts w:cstheme="minorHAnsi"/>
                <w:sz w:val="18"/>
                <w:szCs w:val="18"/>
                <w:u w:val="single"/>
              </w:rPr>
              <w:t>Accomplished segregation:</w:t>
            </w:r>
          </w:p>
          <w:p w14:paraId="5CCE497B" w14:textId="77777777" w:rsidR="00651D6B" w:rsidRPr="00940F94" w:rsidRDefault="00651D6B" w:rsidP="00651D6B">
            <w:pPr>
              <w:pStyle w:val="ListParagraph"/>
              <w:numPr>
                <w:ilvl w:val="0"/>
                <w:numId w:val="1"/>
              </w:numPr>
              <w:spacing w:after="240" w:line="240" w:lineRule="auto"/>
              <w:rPr>
                <w:rFonts w:cstheme="minorHAnsi"/>
                <w:sz w:val="18"/>
                <w:szCs w:val="18"/>
              </w:rPr>
            </w:pPr>
            <w:r w:rsidRPr="00940F94">
              <w:rPr>
                <w:rFonts w:cstheme="minorHAnsi"/>
                <w:sz w:val="18"/>
                <w:szCs w:val="18"/>
              </w:rPr>
              <w:t xml:space="preserve">Fully paid </w:t>
            </w:r>
            <w:r>
              <w:rPr>
                <w:rFonts w:cstheme="minorHAnsi"/>
                <w:sz w:val="18"/>
                <w:szCs w:val="18"/>
              </w:rPr>
              <w:t>and excess margin securities</w:t>
            </w:r>
            <w:r w:rsidRPr="00940F94">
              <w:rPr>
                <w:rFonts w:cstheme="minorHAnsi"/>
                <w:sz w:val="18"/>
                <w:szCs w:val="18"/>
              </w:rPr>
              <w:t xml:space="preserve"> in customer cash accounts are not segregated in a "good" control location.</w:t>
            </w:r>
          </w:p>
          <w:p w14:paraId="70E5CF2B" w14:textId="77777777" w:rsidR="00651D6B" w:rsidRPr="00940F94" w:rsidRDefault="00651D6B" w:rsidP="00651D6B">
            <w:pPr>
              <w:pStyle w:val="ListParagraph"/>
              <w:numPr>
                <w:ilvl w:val="0"/>
                <w:numId w:val="1"/>
              </w:numPr>
              <w:spacing w:after="240" w:line="240" w:lineRule="auto"/>
              <w:rPr>
                <w:rFonts w:cstheme="minorHAnsi"/>
                <w:sz w:val="18"/>
                <w:szCs w:val="18"/>
              </w:rPr>
            </w:pPr>
            <w:r w:rsidRPr="00940F94">
              <w:rPr>
                <w:sz w:val="18"/>
                <w:szCs w:val="18"/>
              </w:rPr>
              <w:t>Excess margin calculation for each account is incorrect (including aggregation of accounts, when</w:t>
            </w:r>
            <w:r>
              <w:rPr>
                <w:sz w:val="18"/>
                <w:szCs w:val="18"/>
              </w:rPr>
              <w:t xml:space="preserve"> </w:t>
            </w:r>
            <w:r w:rsidRPr="00940F94">
              <w:rPr>
                <w:sz w:val="18"/>
                <w:szCs w:val="18"/>
              </w:rPr>
              <w:t>appropriate</w:t>
            </w:r>
            <w:r>
              <w:rPr>
                <w:sz w:val="18"/>
                <w:szCs w:val="18"/>
              </w:rPr>
              <w:t xml:space="preserve"> for </w:t>
            </w:r>
            <w:r>
              <w:rPr>
                <w:sz w:val="18"/>
                <w:szCs w:val="18"/>
              </w:rPr>
              <w:lastRenderedPageBreak/>
              <w:t>accounts subject to netting debits and credits</w:t>
            </w:r>
            <w:r w:rsidRPr="00940F94">
              <w:rPr>
                <w:sz w:val="18"/>
                <w:szCs w:val="18"/>
              </w:rPr>
              <w:t>).</w:t>
            </w:r>
          </w:p>
          <w:p w14:paraId="3B499C82" w14:textId="77777777" w:rsidR="00651D6B" w:rsidRPr="00771192" w:rsidRDefault="00651D6B" w:rsidP="00651D6B">
            <w:pPr>
              <w:pStyle w:val="ListParagraph"/>
              <w:numPr>
                <w:ilvl w:val="0"/>
                <w:numId w:val="1"/>
              </w:numPr>
              <w:spacing w:after="240" w:line="240" w:lineRule="auto"/>
              <w:rPr>
                <w:rFonts w:cstheme="minorHAnsi"/>
                <w:sz w:val="18"/>
                <w:szCs w:val="18"/>
              </w:rPr>
            </w:pPr>
            <w:r w:rsidRPr="00940F94">
              <w:rPr>
                <w:sz w:val="18"/>
                <w:szCs w:val="18"/>
              </w:rPr>
              <w:t>The excess/deficit report is incomplete or inaccurate.</w:t>
            </w:r>
          </w:p>
          <w:p w14:paraId="1205F2AF" w14:textId="77777777" w:rsidR="00651D6B" w:rsidRPr="005A3280" w:rsidRDefault="00651D6B" w:rsidP="00651D6B">
            <w:pPr>
              <w:pStyle w:val="ListParagraph"/>
              <w:numPr>
                <w:ilvl w:val="0"/>
                <w:numId w:val="1"/>
              </w:numPr>
              <w:spacing w:after="240" w:line="240" w:lineRule="auto"/>
              <w:rPr>
                <w:rFonts w:cstheme="minorHAnsi"/>
                <w:sz w:val="18"/>
                <w:szCs w:val="18"/>
              </w:rPr>
            </w:pPr>
            <w:r w:rsidRPr="00940F94">
              <w:rPr>
                <w:sz w:val="18"/>
                <w:szCs w:val="18"/>
              </w:rPr>
              <w:t xml:space="preserve">A broker-dealer does not obtain and thereafter maintain the physical possession or control of securities carried for a PAB account (broker-dealer has not provided written notice to the account holder that the securities may be used in the ordinary course of its </w:t>
            </w:r>
            <w:proofErr w:type="gramStart"/>
            <w:r w:rsidRPr="00940F94">
              <w:rPr>
                <w:sz w:val="18"/>
                <w:szCs w:val="18"/>
              </w:rPr>
              <w:t>securities business, and</w:t>
            </w:r>
            <w:proofErr w:type="gramEnd"/>
            <w:r w:rsidRPr="00940F94">
              <w:rPr>
                <w:sz w:val="18"/>
                <w:szCs w:val="18"/>
              </w:rPr>
              <w:t xml:space="preserve"> has not provided an opportunity for the account holder to object).</w:t>
            </w:r>
          </w:p>
        </w:tc>
      </w:tr>
    </w:tbl>
    <w:p w14:paraId="57348537" w14:textId="77777777" w:rsidR="00651D6B" w:rsidRDefault="00651D6B" w:rsidP="00651D6B">
      <w:pPr>
        <w:spacing w:line="240" w:lineRule="auto"/>
      </w:pPr>
      <w:r>
        <w:lastRenderedPageBreak/>
        <w:br w:type="page"/>
      </w:r>
    </w:p>
    <w:tbl>
      <w:tblPr>
        <w:tblStyle w:val="TableGrid"/>
        <w:tblW w:w="9355" w:type="dxa"/>
        <w:tblLook w:val="04A0" w:firstRow="1" w:lastRow="0" w:firstColumn="1" w:lastColumn="0" w:noHBand="0" w:noVBand="1"/>
      </w:tblPr>
      <w:tblGrid>
        <w:gridCol w:w="3325"/>
        <w:gridCol w:w="3060"/>
        <w:gridCol w:w="2970"/>
      </w:tblGrid>
      <w:tr w:rsidR="00651D6B" w14:paraId="198BD541" w14:textId="77777777" w:rsidTr="00E26D05">
        <w:tc>
          <w:tcPr>
            <w:tcW w:w="3325" w:type="dxa"/>
          </w:tcPr>
          <w:p w14:paraId="14E76201" w14:textId="77777777" w:rsidR="00651D6B" w:rsidRPr="007902C3" w:rsidRDefault="00651D6B" w:rsidP="00E26D05">
            <w:pPr>
              <w:rPr>
                <w:b/>
                <w:bCs/>
              </w:rPr>
            </w:pPr>
            <w:r w:rsidRPr="007902C3">
              <w:rPr>
                <w:b/>
                <w:bCs/>
              </w:rPr>
              <w:lastRenderedPageBreak/>
              <w:t>ICOC Rule Requirement</w:t>
            </w:r>
          </w:p>
        </w:tc>
        <w:tc>
          <w:tcPr>
            <w:tcW w:w="3060" w:type="dxa"/>
          </w:tcPr>
          <w:p w14:paraId="0BA77DBC" w14:textId="77777777" w:rsidR="00651D6B" w:rsidRPr="007902C3" w:rsidRDefault="00651D6B" w:rsidP="00E26D05">
            <w:pPr>
              <w:rPr>
                <w:b/>
                <w:bCs/>
              </w:rPr>
            </w:pPr>
            <w:r w:rsidRPr="007902C3">
              <w:rPr>
                <w:b/>
                <w:bCs/>
              </w:rPr>
              <w:t>Rule References</w:t>
            </w:r>
          </w:p>
        </w:tc>
        <w:tc>
          <w:tcPr>
            <w:tcW w:w="2970" w:type="dxa"/>
          </w:tcPr>
          <w:p w14:paraId="338F3FB5" w14:textId="77777777" w:rsidR="00651D6B" w:rsidRPr="007902C3" w:rsidRDefault="00651D6B" w:rsidP="00E26D05">
            <w:pPr>
              <w:rPr>
                <w:b/>
                <w:bCs/>
              </w:rPr>
            </w:pPr>
            <w:r w:rsidRPr="007902C3">
              <w:rPr>
                <w:b/>
                <w:bCs/>
              </w:rPr>
              <w:t>Illustrative compliance risk point</w:t>
            </w:r>
          </w:p>
        </w:tc>
      </w:tr>
      <w:tr w:rsidR="00651D6B" w14:paraId="6330E9B2" w14:textId="77777777" w:rsidTr="00E26D05">
        <w:tc>
          <w:tcPr>
            <w:tcW w:w="3325" w:type="dxa"/>
          </w:tcPr>
          <w:p w14:paraId="2480D191" w14:textId="77777777" w:rsidR="00651D6B" w:rsidRDefault="00651D6B" w:rsidP="00E26D05">
            <w:pPr>
              <w:rPr>
                <w:b/>
                <w:bCs/>
                <w:sz w:val="20"/>
                <w:szCs w:val="20"/>
              </w:rPr>
            </w:pPr>
            <w:r w:rsidRPr="007E3BAE">
              <w:rPr>
                <w:b/>
                <w:bCs/>
                <w:sz w:val="20"/>
                <w:szCs w:val="20"/>
              </w:rPr>
              <w:t>General reserve calculation and other risks</w:t>
            </w:r>
          </w:p>
          <w:p w14:paraId="7CF46EEE" w14:textId="77777777" w:rsidR="00651D6B" w:rsidRPr="007902C3" w:rsidRDefault="00651D6B" w:rsidP="00E26D05">
            <w:pPr>
              <w:rPr>
                <w:b/>
                <w:bCs/>
                <w:sz w:val="20"/>
                <w:szCs w:val="20"/>
              </w:rPr>
            </w:pPr>
            <w:r>
              <w:rPr>
                <w:sz w:val="18"/>
                <w:szCs w:val="18"/>
              </w:rPr>
              <w:t>A broker-dealer's calculation of its customer reserve requirement requires accurate and complete data, sufficient documentation, and oversight.</w:t>
            </w:r>
          </w:p>
        </w:tc>
        <w:tc>
          <w:tcPr>
            <w:tcW w:w="3060" w:type="dxa"/>
          </w:tcPr>
          <w:p w14:paraId="485096B3" w14:textId="77777777" w:rsidR="00651D6B" w:rsidRPr="006316C8" w:rsidRDefault="00651D6B" w:rsidP="00E26D05">
            <w:pPr>
              <w:rPr>
                <w:b/>
                <w:bCs/>
                <w:i/>
                <w:iCs/>
                <w:sz w:val="18"/>
                <w:szCs w:val="18"/>
              </w:rPr>
            </w:pPr>
            <w:r w:rsidRPr="006316C8">
              <w:rPr>
                <w:b/>
                <w:bCs/>
                <w:i/>
                <w:iCs/>
                <w:sz w:val="18"/>
                <w:szCs w:val="18"/>
              </w:rPr>
              <w:t>SEC Rule 15c3-3 (Customer Reserve Rule)</w:t>
            </w:r>
          </w:p>
          <w:p w14:paraId="56B21CC7" w14:textId="77777777" w:rsidR="00651D6B" w:rsidRPr="006316C8" w:rsidRDefault="00651D6B" w:rsidP="00E26D05">
            <w:pPr>
              <w:rPr>
                <w:i/>
                <w:iCs/>
                <w:sz w:val="18"/>
                <w:szCs w:val="18"/>
              </w:rPr>
            </w:pPr>
            <w:r w:rsidRPr="006316C8">
              <w:rPr>
                <w:i/>
                <w:iCs/>
                <w:sz w:val="18"/>
                <w:szCs w:val="18"/>
              </w:rPr>
              <w:t>15c3-3</w:t>
            </w:r>
            <w:r>
              <w:rPr>
                <w:i/>
                <w:iCs/>
                <w:sz w:val="18"/>
                <w:szCs w:val="18"/>
              </w:rPr>
              <w:t xml:space="preserve"> (a) (1) Definitions - Customer</w:t>
            </w:r>
          </w:p>
          <w:p w14:paraId="0A06F0A3" w14:textId="77777777" w:rsidR="00651D6B" w:rsidRPr="009A2BF5" w:rsidRDefault="00651D6B" w:rsidP="00E26D05">
            <w:pPr>
              <w:pStyle w:val="Default"/>
              <w:rPr>
                <w:rFonts w:asciiTheme="minorHAnsi" w:hAnsiTheme="minorHAnsi" w:cstheme="minorHAnsi"/>
                <w:b/>
                <w:bCs/>
                <w:i/>
                <w:iCs/>
                <w:sz w:val="20"/>
                <w:szCs w:val="20"/>
              </w:rPr>
            </w:pPr>
            <w:r w:rsidRPr="006316C8">
              <w:rPr>
                <w:i/>
                <w:iCs/>
                <w:sz w:val="18"/>
                <w:szCs w:val="18"/>
              </w:rPr>
              <w:t xml:space="preserve">15c3-3(Exhibit A – </w:t>
            </w:r>
            <w:r>
              <w:rPr>
                <w:i/>
                <w:iCs/>
                <w:sz w:val="18"/>
                <w:szCs w:val="18"/>
              </w:rPr>
              <w:t>Allocation Chart</w:t>
            </w:r>
            <w:r w:rsidRPr="006316C8">
              <w:rPr>
                <w:i/>
                <w:iCs/>
                <w:sz w:val="18"/>
                <w:szCs w:val="18"/>
              </w:rPr>
              <w:t>)</w:t>
            </w:r>
          </w:p>
        </w:tc>
        <w:tc>
          <w:tcPr>
            <w:tcW w:w="2970" w:type="dxa"/>
          </w:tcPr>
          <w:p w14:paraId="474A57BC" w14:textId="77777777" w:rsidR="00651D6B" w:rsidRDefault="00651D6B" w:rsidP="00651D6B">
            <w:pPr>
              <w:pStyle w:val="ListParagraph"/>
              <w:numPr>
                <w:ilvl w:val="0"/>
                <w:numId w:val="1"/>
              </w:numPr>
              <w:spacing w:line="240" w:lineRule="auto"/>
              <w:rPr>
                <w:sz w:val="18"/>
                <w:szCs w:val="18"/>
              </w:rPr>
            </w:pPr>
            <w:r w:rsidRPr="008124D8">
              <w:rPr>
                <w:sz w:val="18"/>
                <w:szCs w:val="18"/>
              </w:rPr>
              <w:t>Stock record allocation is not performed in compliance with regulatory rules and interpretation</w:t>
            </w:r>
            <w:r>
              <w:rPr>
                <w:sz w:val="18"/>
                <w:szCs w:val="18"/>
              </w:rPr>
              <w:t>s.</w:t>
            </w:r>
          </w:p>
          <w:p w14:paraId="0A149BD2" w14:textId="77777777" w:rsidR="00651D6B" w:rsidRDefault="00651D6B" w:rsidP="00651D6B">
            <w:pPr>
              <w:pStyle w:val="ListParagraph"/>
              <w:numPr>
                <w:ilvl w:val="1"/>
                <w:numId w:val="1"/>
              </w:numPr>
              <w:spacing w:line="240" w:lineRule="auto"/>
              <w:ind w:left="700"/>
              <w:rPr>
                <w:sz w:val="18"/>
                <w:szCs w:val="18"/>
              </w:rPr>
            </w:pPr>
            <w:r w:rsidRPr="008124D8">
              <w:rPr>
                <w:sz w:val="18"/>
                <w:szCs w:val="18"/>
              </w:rPr>
              <w:t>Accounts are not accurately categorized based on their nature and/or use</w:t>
            </w:r>
            <w:r>
              <w:rPr>
                <w:sz w:val="18"/>
                <w:szCs w:val="18"/>
              </w:rPr>
              <w:t>.</w:t>
            </w:r>
          </w:p>
          <w:p w14:paraId="53AA7691" w14:textId="77777777" w:rsidR="00651D6B" w:rsidRPr="00187076" w:rsidRDefault="00651D6B" w:rsidP="00651D6B">
            <w:pPr>
              <w:pStyle w:val="ListParagraph"/>
              <w:numPr>
                <w:ilvl w:val="1"/>
                <w:numId w:val="1"/>
              </w:numPr>
              <w:spacing w:line="240" w:lineRule="auto"/>
              <w:ind w:left="700"/>
              <w:rPr>
                <w:sz w:val="18"/>
                <w:szCs w:val="18"/>
              </w:rPr>
            </w:pPr>
            <w:r w:rsidRPr="00187076">
              <w:rPr>
                <w:sz w:val="18"/>
                <w:szCs w:val="18"/>
              </w:rPr>
              <w:t>Accounts do not accurately get classified as "customer" by default when there is not a clear identification of their nature and/or use</w:t>
            </w:r>
            <w:r>
              <w:rPr>
                <w:sz w:val="18"/>
                <w:szCs w:val="18"/>
              </w:rPr>
              <w:t>.</w:t>
            </w:r>
          </w:p>
          <w:p w14:paraId="4D938A1E" w14:textId="77777777" w:rsidR="00651D6B" w:rsidRPr="00187076" w:rsidRDefault="00651D6B" w:rsidP="00651D6B">
            <w:pPr>
              <w:pStyle w:val="ListParagraph"/>
              <w:numPr>
                <w:ilvl w:val="0"/>
                <w:numId w:val="1"/>
              </w:numPr>
              <w:spacing w:after="240" w:line="240" w:lineRule="auto"/>
              <w:rPr>
                <w:rFonts w:cstheme="minorHAnsi"/>
                <w:sz w:val="18"/>
                <w:szCs w:val="18"/>
              </w:rPr>
            </w:pPr>
            <w:r w:rsidRPr="008124D8">
              <w:rPr>
                <w:sz w:val="18"/>
                <w:szCs w:val="18"/>
              </w:rPr>
              <w:t>Amounts used in the customer reserve calculation are not accurately and completely supported by information in the firm's books and records</w:t>
            </w:r>
            <w:r>
              <w:rPr>
                <w:sz w:val="18"/>
                <w:szCs w:val="18"/>
              </w:rPr>
              <w:t>.</w:t>
            </w:r>
          </w:p>
          <w:p w14:paraId="30267AE3" w14:textId="77777777" w:rsidR="00651D6B" w:rsidRPr="00187076" w:rsidRDefault="00651D6B" w:rsidP="00651D6B">
            <w:pPr>
              <w:pStyle w:val="ListParagraph"/>
              <w:numPr>
                <w:ilvl w:val="0"/>
                <w:numId w:val="1"/>
              </w:numPr>
              <w:spacing w:after="240" w:line="240" w:lineRule="auto"/>
              <w:rPr>
                <w:rFonts w:cstheme="minorHAnsi"/>
                <w:sz w:val="18"/>
                <w:szCs w:val="18"/>
              </w:rPr>
            </w:pPr>
            <w:r w:rsidRPr="00BE02F9">
              <w:rPr>
                <w:sz w:val="18"/>
                <w:szCs w:val="18"/>
              </w:rPr>
              <w:t>Customer reserve calculations are not performed timely, accurately, and completely</w:t>
            </w:r>
            <w:r>
              <w:rPr>
                <w:sz w:val="18"/>
                <w:szCs w:val="18"/>
              </w:rPr>
              <w:t>.</w:t>
            </w:r>
          </w:p>
          <w:p w14:paraId="4F453613" w14:textId="77777777" w:rsidR="00651D6B" w:rsidRPr="00187076" w:rsidRDefault="00651D6B" w:rsidP="00651D6B">
            <w:pPr>
              <w:pStyle w:val="ListParagraph"/>
              <w:numPr>
                <w:ilvl w:val="0"/>
                <w:numId w:val="1"/>
              </w:numPr>
              <w:spacing w:after="240" w:line="240" w:lineRule="auto"/>
              <w:rPr>
                <w:rFonts w:cstheme="minorHAnsi"/>
                <w:sz w:val="18"/>
                <w:szCs w:val="18"/>
              </w:rPr>
            </w:pPr>
            <w:r w:rsidRPr="00BE02F9">
              <w:rPr>
                <w:sz w:val="18"/>
                <w:szCs w:val="18"/>
              </w:rPr>
              <w:t>Customer reserve calculations are not supervised by appropriately registered individuals</w:t>
            </w:r>
            <w:r>
              <w:rPr>
                <w:sz w:val="18"/>
                <w:szCs w:val="18"/>
              </w:rPr>
              <w:t>.</w:t>
            </w:r>
          </w:p>
          <w:p w14:paraId="2D38480D" w14:textId="77777777" w:rsidR="00651D6B" w:rsidRDefault="00651D6B" w:rsidP="00651D6B">
            <w:pPr>
              <w:pStyle w:val="ListParagraph"/>
              <w:numPr>
                <w:ilvl w:val="0"/>
                <w:numId w:val="1"/>
              </w:numPr>
              <w:spacing w:after="240" w:line="240" w:lineRule="auto"/>
              <w:rPr>
                <w:rFonts w:cstheme="minorHAnsi"/>
                <w:sz w:val="18"/>
                <w:szCs w:val="18"/>
              </w:rPr>
            </w:pPr>
            <w:r w:rsidRPr="00BE02F9">
              <w:rPr>
                <w:sz w:val="18"/>
                <w:szCs w:val="18"/>
              </w:rPr>
              <w:t>Accurate and complete records of customer reserve requirements, calculations, and transactions are not maintained by the broker</w:t>
            </w:r>
            <w:r>
              <w:rPr>
                <w:sz w:val="18"/>
                <w:szCs w:val="18"/>
              </w:rPr>
              <w:t>-</w:t>
            </w:r>
            <w:r w:rsidRPr="00BE02F9">
              <w:rPr>
                <w:sz w:val="18"/>
                <w:szCs w:val="18"/>
              </w:rPr>
              <w:t>dealer</w:t>
            </w:r>
            <w:r>
              <w:rPr>
                <w:sz w:val="18"/>
                <w:szCs w:val="18"/>
              </w:rPr>
              <w:t>.</w:t>
            </w:r>
          </w:p>
        </w:tc>
      </w:tr>
      <w:tr w:rsidR="00651D6B" w14:paraId="46BAF093" w14:textId="77777777" w:rsidTr="00E26D05">
        <w:tc>
          <w:tcPr>
            <w:tcW w:w="3325" w:type="dxa"/>
          </w:tcPr>
          <w:p w14:paraId="66823CBC" w14:textId="77777777" w:rsidR="00651D6B" w:rsidRPr="007902C3" w:rsidRDefault="00651D6B" w:rsidP="00E26D05">
            <w:pPr>
              <w:rPr>
                <w:b/>
                <w:bCs/>
                <w:sz w:val="20"/>
                <w:szCs w:val="20"/>
              </w:rPr>
            </w:pPr>
            <w:r>
              <w:rPr>
                <w:b/>
                <w:bCs/>
                <w:sz w:val="20"/>
                <w:szCs w:val="20"/>
              </w:rPr>
              <w:t>Credits in the formula</w:t>
            </w:r>
          </w:p>
          <w:p w14:paraId="2D60E7CB" w14:textId="77777777" w:rsidR="00651D6B" w:rsidRPr="007902C3" w:rsidRDefault="00651D6B" w:rsidP="00E26D05">
            <w:pPr>
              <w:rPr>
                <w:b/>
                <w:bCs/>
                <w:sz w:val="20"/>
                <w:szCs w:val="20"/>
              </w:rPr>
            </w:pPr>
            <w:r>
              <w:rPr>
                <w:sz w:val="18"/>
                <w:szCs w:val="18"/>
              </w:rPr>
              <w:t>A broker-dealer's customer reserve calculation must include free credit balances and other credit balances in customers’ security accounts</w:t>
            </w:r>
          </w:p>
        </w:tc>
        <w:tc>
          <w:tcPr>
            <w:tcW w:w="3060" w:type="dxa"/>
          </w:tcPr>
          <w:p w14:paraId="79A91502" w14:textId="77777777" w:rsidR="00651D6B" w:rsidRPr="006316C8" w:rsidRDefault="00651D6B" w:rsidP="00E26D05">
            <w:pPr>
              <w:rPr>
                <w:b/>
                <w:bCs/>
                <w:i/>
                <w:iCs/>
                <w:sz w:val="18"/>
                <w:szCs w:val="18"/>
              </w:rPr>
            </w:pPr>
            <w:r w:rsidRPr="006316C8">
              <w:rPr>
                <w:b/>
                <w:bCs/>
                <w:i/>
                <w:iCs/>
                <w:sz w:val="18"/>
                <w:szCs w:val="18"/>
              </w:rPr>
              <w:t>SEC Rule 15c3-3 (Customer Reserve Rule)</w:t>
            </w:r>
          </w:p>
          <w:p w14:paraId="6697EBC1" w14:textId="77777777" w:rsidR="00651D6B" w:rsidRPr="006316C8" w:rsidRDefault="00651D6B" w:rsidP="00E26D05">
            <w:pPr>
              <w:rPr>
                <w:i/>
                <w:iCs/>
                <w:sz w:val="18"/>
                <w:szCs w:val="18"/>
              </w:rPr>
            </w:pPr>
            <w:r w:rsidRPr="006316C8">
              <w:rPr>
                <w:i/>
                <w:iCs/>
                <w:sz w:val="18"/>
                <w:szCs w:val="18"/>
              </w:rPr>
              <w:t>15c3-3(Exhibit A – Item 1)</w:t>
            </w:r>
          </w:p>
          <w:p w14:paraId="6D3C3908" w14:textId="77777777" w:rsidR="00651D6B" w:rsidRPr="009A2BF5" w:rsidRDefault="00651D6B" w:rsidP="00E26D05">
            <w:pPr>
              <w:pStyle w:val="Default"/>
              <w:rPr>
                <w:rFonts w:asciiTheme="minorHAnsi" w:hAnsiTheme="minorHAnsi" w:cstheme="minorHAnsi"/>
                <w:b/>
                <w:bCs/>
                <w:i/>
                <w:iCs/>
                <w:sz w:val="20"/>
                <w:szCs w:val="20"/>
              </w:rPr>
            </w:pPr>
            <w:r w:rsidRPr="006316C8">
              <w:rPr>
                <w:i/>
                <w:iCs/>
                <w:sz w:val="18"/>
                <w:szCs w:val="18"/>
              </w:rPr>
              <w:t>15c3-3(Exhibit A – Note A)</w:t>
            </w:r>
          </w:p>
        </w:tc>
        <w:tc>
          <w:tcPr>
            <w:tcW w:w="2970" w:type="dxa"/>
          </w:tcPr>
          <w:p w14:paraId="3A64D3A7" w14:textId="77777777" w:rsidR="00651D6B" w:rsidRPr="006316C8" w:rsidRDefault="00651D6B" w:rsidP="00651D6B">
            <w:pPr>
              <w:pStyle w:val="ListParagraph"/>
              <w:numPr>
                <w:ilvl w:val="0"/>
                <w:numId w:val="1"/>
              </w:numPr>
              <w:spacing w:after="240" w:line="240" w:lineRule="auto"/>
              <w:rPr>
                <w:rFonts w:cstheme="minorHAnsi"/>
                <w:sz w:val="18"/>
                <w:szCs w:val="18"/>
              </w:rPr>
            </w:pPr>
            <w:r>
              <w:rPr>
                <w:sz w:val="18"/>
                <w:szCs w:val="18"/>
              </w:rPr>
              <w:t>Item 1 of the broker-dealer’s customer reserve computation does not include all free credit balances and other credit balances contained in customers’ security accounts (lack of completeness).</w:t>
            </w:r>
          </w:p>
          <w:p w14:paraId="49188F4D" w14:textId="77777777" w:rsidR="00651D6B" w:rsidRPr="006316C8" w:rsidRDefault="00651D6B" w:rsidP="00651D6B">
            <w:pPr>
              <w:pStyle w:val="ListParagraph"/>
              <w:numPr>
                <w:ilvl w:val="0"/>
                <w:numId w:val="1"/>
              </w:numPr>
              <w:spacing w:after="240" w:line="240" w:lineRule="auto"/>
              <w:rPr>
                <w:rFonts w:cstheme="minorHAnsi"/>
                <w:sz w:val="18"/>
                <w:szCs w:val="18"/>
              </w:rPr>
            </w:pPr>
            <w:r>
              <w:rPr>
                <w:sz w:val="18"/>
                <w:szCs w:val="18"/>
              </w:rPr>
              <w:t>Free credit balances and other credit balances contained in customers’ security accounts are not accurately included in Item 1 of the broker-dealer’s customer reserve computation.</w:t>
            </w:r>
          </w:p>
          <w:p w14:paraId="4E3E4A73" w14:textId="77777777" w:rsidR="00651D6B" w:rsidRDefault="00651D6B" w:rsidP="00651D6B">
            <w:pPr>
              <w:pStyle w:val="ListParagraph"/>
              <w:numPr>
                <w:ilvl w:val="0"/>
                <w:numId w:val="1"/>
              </w:numPr>
              <w:spacing w:after="240" w:line="240" w:lineRule="auto"/>
              <w:rPr>
                <w:rFonts w:cstheme="minorHAnsi"/>
                <w:sz w:val="18"/>
                <w:szCs w:val="18"/>
              </w:rPr>
            </w:pPr>
            <w:r>
              <w:rPr>
                <w:sz w:val="18"/>
                <w:szCs w:val="18"/>
              </w:rPr>
              <w:t>Item 1 (in the customer reserve computation) does not include all outstanding drafts payable to customers which have been applied against free credit balances or other credit balances and does not also include checks drawn in excess of bank balances per the records of the broker or dealer (lack of completeness).</w:t>
            </w:r>
          </w:p>
        </w:tc>
      </w:tr>
      <w:tr w:rsidR="00651D6B" w14:paraId="045E2FE3" w14:textId="77777777" w:rsidTr="00E26D05">
        <w:tc>
          <w:tcPr>
            <w:tcW w:w="3325" w:type="dxa"/>
          </w:tcPr>
          <w:p w14:paraId="0CAC063B" w14:textId="77777777" w:rsidR="00651D6B" w:rsidRPr="007902C3" w:rsidRDefault="00651D6B" w:rsidP="00E26D05">
            <w:pPr>
              <w:rPr>
                <w:b/>
                <w:bCs/>
                <w:sz w:val="20"/>
                <w:szCs w:val="20"/>
              </w:rPr>
            </w:pPr>
            <w:r>
              <w:rPr>
                <w:b/>
                <w:bCs/>
                <w:sz w:val="20"/>
                <w:szCs w:val="20"/>
              </w:rPr>
              <w:t>Credits in the formula</w:t>
            </w:r>
          </w:p>
          <w:p w14:paraId="3E77BC35" w14:textId="77777777" w:rsidR="00651D6B" w:rsidRDefault="00651D6B" w:rsidP="00E26D05">
            <w:pPr>
              <w:rPr>
                <w:b/>
                <w:bCs/>
                <w:sz w:val="20"/>
                <w:szCs w:val="20"/>
              </w:rPr>
            </w:pPr>
            <w:r>
              <w:rPr>
                <w:sz w:val="18"/>
                <w:szCs w:val="18"/>
              </w:rPr>
              <w:t xml:space="preserve">A broker-dealer's customer reserve calculation must include monies </w:t>
            </w:r>
            <w:r>
              <w:rPr>
                <w:sz w:val="18"/>
                <w:szCs w:val="18"/>
              </w:rPr>
              <w:lastRenderedPageBreak/>
              <w:t>borrowed collateralized by securities carried for the account of customers</w:t>
            </w:r>
          </w:p>
        </w:tc>
        <w:tc>
          <w:tcPr>
            <w:tcW w:w="3060" w:type="dxa"/>
          </w:tcPr>
          <w:p w14:paraId="127C0EA1" w14:textId="77777777" w:rsidR="00651D6B" w:rsidRPr="006316C8" w:rsidRDefault="00651D6B" w:rsidP="00E26D05">
            <w:pPr>
              <w:rPr>
                <w:b/>
                <w:bCs/>
                <w:i/>
                <w:iCs/>
                <w:sz w:val="18"/>
                <w:szCs w:val="18"/>
              </w:rPr>
            </w:pPr>
            <w:r w:rsidRPr="006316C8">
              <w:rPr>
                <w:b/>
                <w:bCs/>
                <w:i/>
                <w:iCs/>
                <w:sz w:val="18"/>
                <w:szCs w:val="18"/>
              </w:rPr>
              <w:lastRenderedPageBreak/>
              <w:t>SEC Rule 15c3-3 (Customer Reserve Rule)</w:t>
            </w:r>
          </w:p>
          <w:p w14:paraId="3C49F401" w14:textId="77777777" w:rsidR="00651D6B" w:rsidRPr="006316C8" w:rsidRDefault="00651D6B" w:rsidP="00E26D05">
            <w:pPr>
              <w:rPr>
                <w:i/>
                <w:iCs/>
                <w:sz w:val="18"/>
                <w:szCs w:val="18"/>
              </w:rPr>
            </w:pPr>
            <w:r w:rsidRPr="006316C8">
              <w:rPr>
                <w:i/>
                <w:iCs/>
                <w:sz w:val="18"/>
                <w:szCs w:val="18"/>
              </w:rPr>
              <w:t>15c3-3(Exhibit A – Item 2)</w:t>
            </w:r>
          </w:p>
          <w:p w14:paraId="7C22A912" w14:textId="77777777" w:rsidR="00651D6B" w:rsidRDefault="00651D6B" w:rsidP="00E26D05">
            <w:pPr>
              <w:rPr>
                <w:i/>
                <w:iCs/>
                <w:sz w:val="18"/>
                <w:szCs w:val="18"/>
              </w:rPr>
            </w:pPr>
            <w:r w:rsidRPr="006316C8">
              <w:rPr>
                <w:i/>
                <w:iCs/>
                <w:sz w:val="18"/>
                <w:szCs w:val="18"/>
              </w:rPr>
              <w:t>15c3-3(Exhibit A – Note B)</w:t>
            </w:r>
          </w:p>
          <w:p w14:paraId="58BD0828" w14:textId="77777777" w:rsidR="00651D6B" w:rsidRPr="0002348A" w:rsidRDefault="00651D6B" w:rsidP="00E26D05">
            <w:pPr>
              <w:rPr>
                <w:i/>
                <w:iCs/>
                <w:sz w:val="18"/>
                <w:szCs w:val="18"/>
              </w:rPr>
            </w:pPr>
            <w:r w:rsidRPr="0002348A">
              <w:rPr>
                <w:i/>
                <w:iCs/>
                <w:sz w:val="18"/>
                <w:szCs w:val="18"/>
              </w:rPr>
              <w:lastRenderedPageBreak/>
              <w:t>15c3-3(Exhibit A – Item 2)/02</w:t>
            </w:r>
          </w:p>
          <w:p w14:paraId="66EEC0AB" w14:textId="77777777" w:rsidR="00651D6B" w:rsidRPr="0002348A" w:rsidRDefault="00651D6B" w:rsidP="00E26D05">
            <w:pPr>
              <w:rPr>
                <w:i/>
                <w:iCs/>
                <w:sz w:val="18"/>
                <w:szCs w:val="18"/>
              </w:rPr>
            </w:pPr>
            <w:r w:rsidRPr="0002348A">
              <w:rPr>
                <w:i/>
                <w:iCs/>
                <w:sz w:val="18"/>
                <w:szCs w:val="18"/>
              </w:rPr>
              <w:t>15c3-3(Exhibit A – Item 2)/12</w:t>
            </w:r>
          </w:p>
          <w:p w14:paraId="70624DAA" w14:textId="77777777" w:rsidR="00651D6B" w:rsidRPr="0002348A" w:rsidRDefault="00651D6B" w:rsidP="00E26D05">
            <w:pPr>
              <w:rPr>
                <w:i/>
                <w:iCs/>
                <w:sz w:val="18"/>
                <w:szCs w:val="18"/>
              </w:rPr>
            </w:pPr>
            <w:r w:rsidRPr="0002348A">
              <w:rPr>
                <w:i/>
                <w:iCs/>
                <w:sz w:val="18"/>
                <w:szCs w:val="18"/>
              </w:rPr>
              <w:t>15c3-3(Exhibit A – Item 2)/05</w:t>
            </w:r>
          </w:p>
          <w:p w14:paraId="064A6208" w14:textId="77777777" w:rsidR="00651D6B" w:rsidRPr="0002348A" w:rsidRDefault="00651D6B" w:rsidP="00E26D05">
            <w:pPr>
              <w:rPr>
                <w:i/>
                <w:iCs/>
                <w:sz w:val="18"/>
                <w:szCs w:val="18"/>
              </w:rPr>
            </w:pPr>
            <w:r w:rsidRPr="0002348A">
              <w:rPr>
                <w:i/>
                <w:iCs/>
                <w:sz w:val="18"/>
                <w:szCs w:val="18"/>
              </w:rPr>
              <w:t>15c3-3(Exhibit A – Item 2)/051</w:t>
            </w:r>
          </w:p>
          <w:p w14:paraId="6E9F7657" w14:textId="77777777" w:rsidR="00651D6B" w:rsidRPr="0002348A" w:rsidRDefault="00651D6B" w:rsidP="00E26D05">
            <w:pPr>
              <w:rPr>
                <w:i/>
                <w:iCs/>
                <w:sz w:val="18"/>
                <w:szCs w:val="18"/>
              </w:rPr>
            </w:pPr>
            <w:r w:rsidRPr="0002348A">
              <w:rPr>
                <w:i/>
                <w:iCs/>
                <w:sz w:val="18"/>
                <w:szCs w:val="18"/>
              </w:rPr>
              <w:t>15c3-3(Exhibit A – Item 2)/03</w:t>
            </w:r>
          </w:p>
          <w:p w14:paraId="768BD29A" w14:textId="77777777" w:rsidR="00651D6B" w:rsidRDefault="00651D6B" w:rsidP="00E26D05">
            <w:pPr>
              <w:rPr>
                <w:sz w:val="18"/>
                <w:szCs w:val="18"/>
              </w:rPr>
            </w:pPr>
          </w:p>
          <w:p w14:paraId="6D1B4678" w14:textId="77777777" w:rsidR="00651D6B" w:rsidRPr="006316C8" w:rsidRDefault="00651D6B" w:rsidP="00E26D05">
            <w:pPr>
              <w:rPr>
                <w:b/>
                <w:bCs/>
                <w:i/>
                <w:iCs/>
                <w:sz w:val="18"/>
                <w:szCs w:val="18"/>
              </w:rPr>
            </w:pPr>
          </w:p>
        </w:tc>
        <w:tc>
          <w:tcPr>
            <w:tcW w:w="2970" w:type="dxa"/>
          </w:tcPr>
          <w:p w14:paraId="4A6B526B" w14:textId="77777777" w:rsidR="00651D6B" w:rsidRDefault="00651D6B" w:rsidP="00651D6B">
            <w:pPr>
              <w:pStyle w:val="ListParagraph"/>
              <w:numPr>
                <w:ilvl w:val="0"/>
                <w:numId w:val="1"/>
              </w:numPr>
              <w:spacing w:after="240" w:line="240" w:lineRule="auto"/>
              <w:rPr>
                <w:sz w:val="18"/>
                <w:szCs w:val="18"/>
              </w:rPr>
            </w:pPr>
            <w:r>
              <w:rPr>
                <w:sz w:val="18"/>
                <w:szCs w:val="18"/>
              </w:rPr>
              <w:lastRenderedPageBreak/>
              <w:t xml:space="preserve">Item 2 of the broker-dealer’s customer reserve computation does not include all monies borrowed which are </w:t>
            </w:r>
            <w:r>
              <w:rPr>
                <w:sz w:val="18"/>
                <w:szCs w:val="18"/>
              </w:rPr>
              <w:lastRenderedPageBreak/>
              <w:t>collateralized by securities carried for accounts of customers (lack of completeness).</w:t>
            </w:r>
          </w:p>
          <w:p w14:paraId="1245B135" w14:textId="77777777" w:rsidR="00651D6B" w:rsidRDefault="00651D6B" w:rsidP="00651D6B">
            <w:pPr>
              <w:pStyle w:val="ListParagraph"/>
              <w:numPr>
                <w:ilvl w:val="0"/>
                <w:numId w:val="1"/>
              </w:numPr>
              <w:spacing w:after="240" w:line="240" w:lineRule="auto"/>
              <w:rPr>
                <w:sz w:val="18"/>
                <w:szCs w:val="18"/>
              </w:rPr>
            </w:pPr>
            <w:r>
              <w:rPr>
                <w:sz w:val="18"/>
                <w:szCs w:val="18"/>
              </w:rPr>
              <w:t>Credits included in Item 2 of the broker-dealer’s customer reserve computation for monies borrowed which are collateralized by securities carried for the accounts of customers at inaccurate amounts.</w:t>
            </w:r>
          </w:p>
          <w:p w14:paraId="16AC0C08" w14:textId="77777777" w:rsidR="00651D6B" w:rsidRDefault="00651D6B" w:rsidP="00651D6B">
            <w:pPr>
              <w:pStyle w:val="ListParagraph"/>
              <w:numPr>
                <w:ilvl w:val="0"/>
                <w:numId w:val="1"/>
              </w:numPr>
              <w:spacing w:after="240" w:line="240" w:lineRule="auto"/>
              <w:rPr>
                <w:sz w:val="18"/>
                <w:szCs w:val="18"/>
              </w:rPr>
            </w:pPr>
            <w:r w:rsidRPr="0002348A">
              <w:rPr>
                <w:sz w:val="18"/>
                <w:szCs w:val="18"/>
              </w:rPr>
              <w:t>Item 2 of the broker-dealer’s customer reserve computation does not include the amount of letters of credit obtained by a member of the Options Clearing Corporation (OCC) that are collateralized by customers’ securities, to the extent of the members’ margin requirement at OCC</w:t>
            </w:r>
            <w:r>
              <w:rPr>
                <w:sz w:val="18"/>
                <w:szCs w:val="18"/>
              </w:rPr>
              <w:t>,</w:t>
            </w:r>
            <w:r w:rsidRPr="0002348A">
              <w:rPr>
                <w:sz w:val="18"/>
                <w:szCs w:val="18"/>
              </w:rPr>
              <w:t xml:space="preserve"> completely and accurately.</w:t>
            </w:r>
          </w:p>
          <w:p w14:paraId="61565736" w14:textId="77777777" w:rsidR="00651D6B" w:rsidRDefault="00651D6B" w:rsidP="00651D6B">
            <w:pPr>
              <w:pStyle w:val="ListParagraph"/>
              <w:numPr>
                <w:ilvl w:val="0"/>
                <w:numId w:val="1"/>
              </w:numPr>
              <w:spacing w:after="240" w:line="240" w:lineRule="auto"/>
              <w:rPr>
                <w:sz w:val="18"/>
                <w:szCs w:val="18"/>
              </w:rPr>
            </w:pPr>
            <w:r w:rsidRPr="0002348A">
              <w:rPr>
                <w:sz w:val="18"/>
                <w:szCs w:val="18"/>
              </w:rPr>
              <w:t>Item 2 of the broker-dealer’s customer reserve computation does not include the amount of options related or security futures product-related letters of credit obtained by a member of a registered clearing agency or derivatives clearing organization, which are collateralized by customers’ securities</w:t>
            </w:r>
            <w:r>
              <w:rPr>
                <w:sz w:val="18"/>
                <w:szCs w:val="18"/>
              </w:rPr>
              <w:t>,</w:t>
            </w:r>
            <w:r w:rsidRPr="0002348A">
              <w:rPr>
                <w:sz w:val="18"/>
                <w:szCs w:val="18"/>
              </w:rPr>
              <w:t xml:space="preserve"> to the extent of the member’s margin requirements at the registered clearing organization or derivatives clearing organization</w:t>
            </w:r>
            <w:r>
              <w:rPr>
                <w:sz w:val="18"/>
                <w:szCs w:val="18"/>
              </w:rPr>
              <w:t>,</w:t>
            </w:r>
            <w:r w:rsidRPr="0002348A">
              <w:rPr>
                <w:sz w:val="18"/>
                <w:szCs w:val="18"/>
              </w:rPr>
              <w:t xml:space="preserve"> completely and accurately.</w:t>
            </w:r>
          </w:p>
          <w:p w14:paraId="485C9752" w14:textId="77777777" w:rsidR="00651D6B" w:rsidRDefault="00651D6B" w:rsidP="00651D6B">
            <w:pPr>
              <w:pStyle w:val="ListParagraph"/>
              <w:numPr>
                <w:ilvl w:val="0"/>
                <w:numId w:val="1"/>
              </w:numPr>
              <w:spacing w:after="240" w:line="240" w:lineRule="auto"/>
              <w:rPr>
                <w:sz w:val="18"/>
                <w:szCs w:val="18"/>
              </w:rPr>
            </w:pPr>
            <w:r w:rsidRPr="0002348A">
              <w:rPr>
                <w:sz w:val="18"/>
                <w:szCs w:val="18"/>
              </w:rPr>
              <w:t>Item 2 of the broker-dealer’s customer reserve computation does not include the lessor of either the market value of securities lodged in firm bank loans, for which the broker-dealer does not have a corresponding proprietary long position, or the total amount of firm bank loans at the particular bank</w:t>
            </w:r>
          </w:p>
          <w:p w14:paraId="2326036D" w14:textId="77777777" w:rsidR="00651D6B" w:rsidRPr="0002348A" w:rsidRDefault="00651D6B" w:rsidP="00651D6B">
            <w:pPr>
              <w:pStyle w:val="ListParagraph"/>
              <w:numPr>
                <w:ilvl w:val="0"/>
                <w:numId w:val="1"/>
              </w:numPr>
              <w:spacing w:after="240" w:line="240" w:lineRule="auto"/>
              <w:rPr>
                <w:sz w:val="18"/>
                <w:szCs w:val="18"/>
              </w:rPr>
            </w:pPr>
            <w:r w:rsidRPr="0002348A">
              <w:rPr>
                <w:sz w:val="18"/>
                <w:szCs w:val="18"/>
              </w:rPr>
              <w:t xml:space="preserve">Item 2 of the broker-dealer’s customer reserve computation does not include the actual amount of OCC Margin Requirement in the customer reserve formula as both a debit and a credit completely and accurately when customer available collateral is deposited with the OCC to satisfy the </w:t>
            </w:r>
            <w:r w:rsidRPr="0002348A">
              <w:rPr>
                <w:sz w:val="18"/>
                <w:szCs w:val="18"/>
              </w:rPr>
              <w:lastRenderedPageBreak/>
              <w:t>broker-dealer's margin requirements</w:t>
            </w:r>
          </w:p>
        </w:tc>
      </w:tr>
      <w:tr w:rsidR="00651D6B" w14:paraId="0F2F805C" w14:textId="77777777" w:rsidTr="00E26D05">
        <w:tc>
          <w:tcPr>
            <w:tcW w:w="3325" w:type="dxa"/>
          </w:tcPr>
          <w:p w14:paraId="2C5FCF4A" w14:textId="77777777" w:rsidR="00651D6B" w:rsidRPr="007902C3" w:rsidRDefault="00651D6B" w:rsidP="00E26D05">
            <w:pPr>
              <w:rPr>
                <w:b/>
                <w:bCs/>
                <w:sz w:val="20"/>
                <w:szCs w:val="20"/>
              </w:rPr>
            </w:pPr>
            <w:r>
              <w:rPr>
                <w:b/>
                <w:bCs/>
                <w:sz w:val="20"/>
                <w:szCs w:val="20"/>
              </w:rPr>
              <w:lastRenderedPageBreak/>
              <w:t>Credits in the formula</w:t>
            </w:r>
          </w:p>
          <w:p w14:paraId="72A009B8" w14:textId="77777777" w:rsidR="00651D6B" w:rsidRDefault="00651D6B" w:rsidP="00E26D05">
            <w:pPr>
              <w:rPr>
                <w:b/>
                <w:bCs/>
                <w:sz w:val="20"/>
                <w:szCs w:val="20"/>
              </w:rPr>
            </w:pPr>
            <w:r>
              <w:rPr>
                <w:sz w:val="18"/>
                <w:szCs w:val="18"/>
              </w:rPr>
              <w:t>A broker-dealer's customer reserve calculation must include monies payable against customers’ securities loaned</w:t>
            </w:r>
          </w:p>
        </w:tc>
        <w:tc>
          <w:tcPr>
            <w:tcW w:w="3060" w:type="dxa"/>
          </w:tcPr>
          <w:p w14:paraId="00A1CEC2" w14:textId="77777777" w:rsidR="00651D6B" w:rsidRPr="006316C8" w:rsidRDefault="00651D6B" w:rsidP="00E26D05">
            <w:pPr>
              <w:rPr>
                <w:b/>
                <w:bCs/>
                <w:i/>
                <w:iCs/>
                <w:sz w:val="18"/>
                <w:szCs w:val="18"/>
              </w:rPr>
            </w:pPr>
            <w:r w:rsidRPr="006316C8">
              <w:rPr>
                <w:b/>
                <w:bCs/>
                <w:i/>
                <w:iCs/>
                <w:sz w:val="18"/>
                <w:szCs w:val="18"/>
              </w:rPr>
              <w:t>SEC Rule 15c3-3 (Customer Reserve Rule)</w:t>
            </w:r>
          </w:p>
          <w:p w14:paraId="5A85A624" w14:textId="77777777" w:rsidR="00651D6B" w:rsidRPr="009E6BA3" w:rsidRDefault="00651D6B" w:rsidP="00E26D05">
            <w:pPr>
              <w:rPr>
                <w:i/>
                <w:iCs/>
                <w:sz w:val="18"/>
                <w:szCs w:val="18"/>
              </w:rPr>
            </w:pPr>
            <w:r w:rsidRPr="009E6BA3">
              <w:rPr>
                <w:i/>
                <w:iCs/>
                <w:sz w:val="18"/>
                <w:szCs w:val="18"/>
              </w:rPr>
              <w:t>15c3-3(Exhibit A – Item 3)</w:t>
            </w:r>
          </w:p>
          <w:p w14:paraId="54439FB9" w14:textId="77777777" w:rsidR="00651D6B" w:rsidRPr="006316C8" w:rsidRDefault="00651D6B" w:rsidP="00E26D05">
            <w:pPr>
              <w:rPr>
                <w:b/>
                <w:bCs/>
                <w:i/>
                <w:iCs/>
                <w:sz w:val="18"/>
                <w:szCs w:val="18"/>
              </w:rPr>
            </w:pPr>
            <w:r w:rsidRPr="009E6BA3">
              <w:rPr>
                <w:i/>
                <w:iCs/>
                <w:sz w:val="18"/>
                <w:szCs w:val="18"/>
              </w:rPr>
              <w:t>15c3-3(Exhibit A – Note C)</w:t>
            </w:r>
          </w:p>
        </w:tc>
        <w:tc>
          <w:tcPr>
            <w:tcW w:w="2970" w:type="dxa"/>
          </w:tcPr>
          <w:p w14:paraId="4153700C" w14:textId="77777777" w:rsidR="00651D6B" w:rsidRDefault="00651D6B" w:rsidP="00651D6B">
            <w:pPr>
              <w:pStyle w:val="ListParagraph"/>
              <w:numPr>
                <w:ilvl w:val="0"/>
                <w:numId w:val="1"/>
              </w:numPr>
              <w:spacing w:after="240" w:line="240" w:lineRule="auto"/>
              <w:rPr>
                <w:sz w:val="18"/>
                <w:szCs w:val="18"/>
              </w:rPr>
            </w:pPr>
            <w:r>
              <w:rPr>
                <w:sz w:val="18"/>
                <w:szCs w:val="18"/>
              </w:rPr>
              <w:t xml:space="preserve">Item 3 of the broker-dealer’s customer reserve computation does not include the complete and accurate </w:t>
            </w:r>
            <w:proofErr w:type="gramStart"/>
            <w:r>
              <w:rPr>
                <w:sz w:val="18"/>
                <w:szCs w:val="18"/>
              </w:rPr>
              <w:t>amount</w:t>
            </w:r>
            <w:proofErr w:type="gramEnd"/>
            <w:r>
              <w:rPr>
                <w:sz w:val="18"/>
                <w:szCs w:val="18"/>
              </w:rPr>
              <w:t xml:space="preserve"> of monies payable against customers’ securities loaned. </w:t>
            </w:r>
          </w:p>
          <w:p w14:paraId="38FE4F28" w14:textId="77777777" w:rsidR="00651D6B" w:rsidRDefault="00651D6B" w:rsidP="00651D6B">
            <w:pPr>
              <w:pStyle w:val="ListParagraph"/>
              <w:numPr>
                <w:ilvl w:val="0"/>
                <w:numId w:val="1"/>
              </w:numPr>
              <w:spacing w:after="240" w:line="240" w:lineRule="auto"/>
              <w:rPr>
                <w:sz w:val="18"/>
                <w:szCs w:val="18"/>
              </w:rPr>
            </w:pPr>
            <w:r>
              <w:rPr>
                <w:sz w:val="18"/>
                <w:szCs w:val="18"/>
              </w:rPr>
              <w:t>Item 3 of the broker-dealer’s customer reserve computation does not include the complete and accurate amount by which the market value of securities loaned exceeds the collateral value received from the lending of such securities.</w:t>
            </w:r>
          </w:p>
        </w:tc>
      </w:tr>
      <w:tr w:rsidR="00651D6B" w14:paraId="10389EE5" w14:textId="77777777" w:rsidTr="00E26D05">
        <w:tc>
          <w:tcPr>
            <w:tcW w:w="3325" w:type="dxa"/>
          </w:tcPr>
          <w:p w14:paraId="2C5C0032" w14:textId="77777777" w:rsidR="00651D6B" w:rsidRPr="007902C3" w:rsidRDefault="00651D6B" w:rsidP="00E26D05">
            <w:pPr>
              <w:rPr>
                <w:b/>
                <w:bCs/>
                <w:sz w:val="20"/>
                <w:szCs w:val="20"/>
              </w:rPr>
            </w:pPr>
            <w:r>
              <w:rPr>
                <w:b/>
                <w:bCs/>
                <w:sz w:val="20"/>
                <w:szCs w:val="20"/>
              </w:rPr>
              <w:t>Credits in the formula</w:t>
            </w:r>
          </w:p>
          <w:p w14:paraId="60804F89" w14:textId="77777777" w:rsidR="00651D6B" w:rsidRDefault="00651D6B" w:rsidP="00E26D05">
            <w:pPr>
              <w:rPr>
                <w:b/>
                <w:bCs/>
                <w:sz w:val="20"/>
                <w:szCs w:val="20"/>
              </w:rPr>
            </w:pPr>
            <w:r>
              <w:rPr>
                <w:sz w:val="18"/>
                <w:szCs w:val="18"/>
              </w:rPr>
              <w:t>A broker-dealer's customer reserve calculation must include customers’ securities failed-to-receive</w:t>
            </w:r>
          </w:p>
        </w:tc>
        <w:tc>
          <w:tcPr>
            <w:tcW w:w="3060" w:type="dxa"/>
          </w:tcPr>
          <w:p w14:paraId="35781EA6" w14:textId="77777777" w:rsidR="00651D6B" w:rsidRPr="006316C8" w:rsidRDefault="00651D6B" w:rsidP="00E26D05">
            <w:pPr>
              <w:rPr>
                <w:b/>
                <w:bCs/>
                <w:i/>
                <w:iCs/>
                <w:sz w:val="18"/>
                <w:szCs w:val="18"/>
              </w:rPr>
            </w:pPr>
            <w:r w:rsidRPr="006316C8">
              <w:rPr>
                <w:b/>
                <w:bCs/>
                <w:i/>
                <w:iCs/>
                <w:sz w:val="18"/>
                <w:szCs w:val="18"/>
              </w:rPr>
              <w:t>SEC Rule 15c3-3 (Customer Reserve Rule)</w:t>
            </w:r>
          </w:p>
          <w:p w14:paraId="5C3CA503" w14:textId="77777777" w:rsidR="00651D6B" w:rsidRPr="009E6BA3" w:rsidRDefault="00651D6B" w:rsidP="00E26D05">
            <w:pPr>
              <w:rPr>
                <w:i/>
                <w:iCs/>
                <w:sz w:val="18"/>
                <w:szCs w:val="18"/>
              </w:rPr>
            </w:pPr>
            <w:r w:rsidRPr="009E6BA3">
              <w:rPr>
                <w:i/>
                <w:iCs/>
                <w:sz w:val="18"/>
                <w:szCs w:val="18"/>
              </w:rPr>
              <w:t>15c3-3(Exhibit A – Item 4)</w:t>
            </w:r>
          </w:p>
          <w:p w14:paraId="1D9354B6" w14:textId="77777777" w:rsidR="00651D6B" w:rsidRPr="006316C8" w:rsidRDefault="00651D6B" w:rsidP="00E26D05">
            <w:pPr>
              <w:rPr>
                <w:b/>
                <w:bCs/>
                <w:i/>
                <w:iCs/>
                <w:sz w:val="18"/>
                <w:szCs w:val="18"/>
              </w:rPr>
            </w:pPr>
            <w:r w:rsidRPr="009E6BA3">
              <w:rPr>
                <w:i/>
                <w:iCs/>
                <w:sz w:val="18"/>
                <w:szCs w:val="18"/>
              </w:rPr>
              <w:t>15c3-3(Exhibit A – Note D)</w:t>
            </w:r>
          </w:p>
        </w:tc>
        <w:tc>
          <w:tcPr>
            <w:tcW w:w="2970" w:type="dxa"/>
          </w:tcPr>
          <w:p w14:paraId="38257DD2" w14:textId="77777777" w:rsidR="00651D6B" w:rsidRDefault="00651D6B" w:rsidP="00651D6B">
            <w:pPr>
              <w:pStyle w:val="ListParagraph"/>
              <w:numPr>
                <w:ilvl w:val="0"/>
                <w:numId w:val="1"/>
              </w:numPr>
              <w:spacing w:after="240" w:line="240" w:lineRule="auto"/>
              <w:rPr>
                <w:sz w:val="18"/>
                <w:szCs w:val="18"/>
              </w:rPr>
            </w:pPr>
            <w:r>
              <w:rPr>
                <w:sz w:val="18"/>
                <w:szCs w:val="18"/>
              </w:rPr>
              <w:t xml:space="preserve">Item 4 of the broker-dealer’s customer reserve computation does not include the complete and accurate amount of customers’ securities failed-to-receive. </w:t>
            </w:r>
          </w:p>
          <w:p w14:paraId="1158A181" w14:textId="77777777" w:rsidR="00651D6B" w:rsidRDefault="00651D6B" w:rsidP="00651D6B">
            <w:pPr>
              <w:pStyle w:val="ListParagraph"/>
              <w:numPr>
                <w:ilvl w:val="0"/>
                <w:numId w:val="1"/>
              </w:numPr>
              <w:spacing w:after="240" w:line="240" w:lineRule="auto"/>
              <w:rPr>
                <w:sz w:val="18"/>
                <w:szCs w:val="18"/>
              </w:rPr>
            </w:pPr>
            <w:r>
              <w:rPr>
                <w:sz w:val="18"/>
                <w:szCs w:val="18"/>
              </w:rPr>
              <w:t>Item 4 of the broker-dealer’s customer reserve computation does not completely and accurately include</w:t>
            </w:r>
            <w:r>
              <w:t xml:space="preserve"> </w:t>
            </w:r>
            <w:r>
              <w:rPr>
                <w:sz w:val="18"/>
                <w:szCs w:val="18"/>
              </w:rPr>
              <w:t>the amount by which the market value of customers’ securities failed-to-receive and outstanding more than thirty (30) calendar days exceeds their contract value.</w:t>
            </w:r>
          </w:p>
        </w:tc>
      </w:tr>
      <w:tr w:rsidR="00651D6B" w14:paraId="35C95046" w14:textId="77777777" w:rsidTr="00E26D05">
        <w:tc>
          <w:tcPr>
            <w:tcW w:w="3325" w:type="dxa"/>
          </w:tcPr>
          <w:p w14:paraId="6734602D" w14:textId="77777777" w:rsidR="00651D6B" w:rsidRPr="007902C3" w:rsidRDefault="00651D6B" w:rsidP="00E26D05">
            <w:pPr>
              <w:rPr>
                <w:b/>
                <w:bCs/>
                <w:sz w:val="20"/>
                <w:szCs w:val="20"/>
              </w:rPr>
            </w:pPr>
            <w:r>
              <w:rPr>
                <w:b/>
                <w:bCs/>
                <w:sz w:val="20"/>
                <w:szCs w:val="20"/>
              </w:rPr>
              <w:t>Credits in the formula</w:t>
            </w:r>
          </w:p>
          <w:p w14:paraId="5F5A85E6" w14:textId="77777777" w:rsidR="00651D6B" w:rsidRDefault="00651D6B" w:rsidP="00E26D05">
            <w:pPr>
              <w:rPr>
                <w:b/>
                <w:bCs/>
                <w:sz w:val="20"/>
                <w:szCs w:val="20"/>
              </w:rPr>
            </w:pPr>
            <w:r>
              <w:rPr>
                <w:sz w:val="18"/>
                <w:szCs w:val="18"/>
              </w:rPr>
              <w:t>A broker-dealer's customer reserve calculation must include credit balances in firm accounts which are attributable to principal sales to customers</w:t>
            </w:r>
          </w:p>
        </w:tc>
        <w:tc>
          <w:tcPr>
            <w:tcW w:w="3060" w:type="dxa"/>
          </w:tcPr>
          <w:p w14:paraId="2ECFA372" w14:textId="77777777" w:rsidR="00651D6B" w:rsidRPr="006316C8" w:rsidRDefault="00651D6B" w:rsidP="00E26D05">
            <w:pPr>
              <w:rPr>
                <w:b/>
                <w:bCs/>
                <w:i/>
                <w:iCs/>
                <w:sz w:val="18"/>
                <w:szCs w:val="18"/>
              </w:rPr>
            </w:pPr>
            <w:r w:rsidRPr="006316C8">
              <w:rPr>
                <w:b/>
                <w:bCs/>
                <w:i/>
                <w:iCs/>
                <w:sz w:val="18"/>
                <w:szCs w:val="18"/>
              </w:rPr>
              <w:t>SEC Rule 15c3-3 (Customer Reserve Rule)</w:t>
            </w:r>
          </w:p>
          <w:p w14:paraId="6EBE0C8D" w14:textId="77777777" w:rsidR="00651D6B" w:rsidRPr="009E6BA3" w:rsidRDefault="00651D6B" w:rsidP="00E26D05">
            <w:pPr>
              <w:rPr>
                <w:i/>
                <w:iCs/>
                <w:sz w:val="18"/>
                <w:szCs w:val="18"/>
              </w:rPr>
            </w:pPr>
            <w:r w:rsidRPr="009E6BA3">
              <w:rPr>
                <w:i/>
                <w:iCs/>
                <w:sz w:val="18"/>
                <w:szCs w:val="18"/>
              </w:rPr>
              <w:t>15c3-3(Exhibit A – Item 5)</w:t>
            </w:r>
          </w:p>
          <w:p w14:paraId="0BF469A6" w14:textId="77777777" w:rsidR="00651D6B" w:rsidRPr="009E6BA3" w:rsidRDefault="00651D6B" w:rsidP="00E26D05">
            <w:pPr>
              <w:rPr>
                <w:i/>
                <w:iCs/>
                <w:sz w:val="18"/>
                <w:szCs w:val="18"/>
              </w:rPr>
            </w:pPr>
            <w:r w:rsidRPr="009E6BA3">
              <w:rPr>
                <w:i/>
                <w:iCs/>
                <w:sz w:val="18"/>
                <w:szCs w:val="18"/>
              </w:rPr>
              <w:t>15c3-3(Exhibit A – Item 5)/01</w:t>
            </w:r>
          </w:p>
          <w:p w14:paraId="3A85B27D" w14:textId="77777777" w:rsidR="00651D6B" w:rsidRPr="009E6BA3" w:rsidRDefault="00651D6B" w:rsidP="00E26D05">
            <w:pPr>
              <w:rPr>
                <w:i/>
                <w:iCs/>
                <w:sz w:val="18"/>
                <w:szCs w:val="18"/>
              </w:rPr>
            </w:pPr>
            <w:r w:rsidRPr="009E6BA3">
              <w:rPr>
                <w:i/>
                <w:iCs/>
                <w:sz w:val="18"/>
                <w:szCs w:val="18"/>
              </w:rPr>
              <w:t>15c3-3(Exhibit A – Item 5)/02</w:t>
            </w:r>
          </w:p>
          <w:p w14:paraId="361D2D31" w14:textId="77777777" w:rsidR="00651D6B" w:rsidRPr="009E6BA3" w:rsidRDefault="00651D6B" w:rsidP="00E26D05">
            <w:pPr>
              <w:rPr>
                <w:i/>
                <w:iCs/>
                <w:sz w:val="18"/>
                <w:szCs w:val="18"/>
              </w:rPr>
            </w:pPr>
            <w:r w:rsidRPr="009E6BA3">
              <w:rPr>
                <w:i/>
                <w:iCs/>
                <w:sz w:val="18"/>
                <w:szCs w:val="18"/>
              </w:rPr>
              <w:t>15c3-3(Exhibit A – Item 5)/03</w:t>
            </w:r>
          </w:p>
          <w:p w14:paraId="185B8B18" w14:textId="77777777" w:rsidR="00651D6B" w:rsidRPr="006316C8" w:rsidRDefault="00651D6B" w:rsidP="00E26D05">
            <w:pPr>
              <w:rPr>
                <w:b/>
                <w:bCs/>
                <w:i/>
                <w:iCs/>
                <w:sz w:val="18"/>
                <w:szCs w:val="18"/>
              </w:rPr>
            </w:pPr>
          </w:p>
        </w:tc>
        <w:tc>
          <w:tcPr>
            <w:tcW w:w="2970" w:type="dxa"/>
          </w:tcPr>
          <w:p w14:paraId="0AF3C67A" w14:textId="77777777" w:rsidR="00651D6B" w:rsidRDefault="00651D6B" w:rsidP="00651D6B">
            <w:pPr>
              <w:pStyle w:val="ListParagraph"/>
              <w:numPr>
                <w:ilvl w:val="0"/>
                <w:numId w:val="1"/>
              </w:numPr>
              <w:spacing w:after="240" w:line="240" w:lineRule="auto"/>
              <w:rPr>
                <w:sz w:val="18"/>
                <w:szCs w:val="18"/>
              </w:rPr>
            </w:pPr>
            <w:r>
              <w:rPr>
                <w:sz w:val="18"/>
                <w:szCs w:val="18"/>
              </w:rPr>
              <w:t xml:space="preserve">Item 5 of the broker-dealer’s customer reserve computation does not completely and accurately include credit balances in firm accounts which are attributable to principal sales to customers. </w:t>
            </w:r>
          </w:p>
          <w:p w14:paraId="4511F6FC" w14:textId="77777777" w:rsidR="00651D6B" w:rsidRDefault="00651D6B" w:rsidP="00651D6B">
            <w:pPr>
              <w:pStyle w:val="ListParagraph"/>
              <w:numPr>
                <w:ilvl w:val="0"/>
                <w:numId w:val="1"/>
              </w:numPr>
              <w:spacing w:after="240" w:line="240" w:lineRule="auto"/>
              <w:rPr>
                <w:sz w:val="18"/>
                <w:szCs w:val="18"/>
              </w:rPr>
            </w:pPr>
            <w:r w:rsidRPr="0002348A">
              <w:rPr>
                <w:sz w:val="18"/>
                <w:szCs w:val="18"/>
              </w:rPr>
              <w:t>Item 5 of the broker-dealer’s customer reserve computation does not completely and accurately include the market value of uncovered or partially covered short sales which are attributable to principal sales to customers.</w:t>
            </w:r>
          </w:p>
          <w:p w14:paraId="5D3CF205" w14:textId="77777777" w:rsidR="00651D6B" w:rsidRDefault="00651D6B" w:rsidP="00651D6B">
            <w:pPr>
              <w:pStyle w:val="ListParagraph"/>
              <w:numPr>
                <w:ilvl w:val="0"/>
                <w:numId w:val="1"/>
              </w:numPr>
              <w:spacing w:after="240" w:line="240" w:lineRule="auto"/>
              <w:rPr>
                <w:sz w:val="18"/>
                <w:szCs w:val="18"/>
              </w:rPr>
            </w:pPr>
            <w:r w:rsidRPr="0002348A">
              <w:rPr>
                <w:sz w:val="18"/>
                <w:szCs w:val="18"/>
              </w:rPr>
              <w:t xml:space="preserve">When the broker-dealer uses an allocation method to determine proprietary vs. customer securities, Item 5 of the broker-dealer’s customer reserve computation does not completely and accurately include the short market value of proprietary securities which </w:t>
            </w:r>
            <w:r>
              <w:rPr>
                <w:sz w:val="18"/>
                <w:szCs w:val="18"/>
              </w:rPr>
              <w:t xml:space="preserve">are </w:t>
            </w:r>
            <w:r w:rsidRPr="0002348A">
              <w:rPr>
                <w:sz w:val="18"/>
                <w:szCs w:val="18"/>
              </w:rPr>
              <w:t>allocate</w:t>
            </w:r>
            <w:r>
              <w:rPr>
                <w:sz w:val="18"/>
                <w:szCs w:val="18"/>
              </w:rPr>
              <w:t>d</w:t>
            </w:r>
            <w:r w:rsidRPr="0002348A">
              <w:rPr>
                <w:sz w:val="18"/>
                <w:szCs w:val="18"/>
              </w:rPr>
              <w:t xml:space="preserve"> to customer longs.</w:t>
            </w:r>
          </w:p>
          <w:p w14:paraId="061D86CE" w14:textId="77777777" w:rsidR="00651D6B" w:rsidRPr="0002348A" w:rsidRDefault="00651D6B" w:rsidP="00651D6B">
            <w:pPr>
              <w:pStyle w:val="ListParagraph"/>
              <w:numPr>
                <w:ilvl w:val="0"/>
                <w:numId w:val="1"/>
              </w:numPr>
              <w:spacing w:after="240" w:line="240" w:lineRule="auto"/>
              <w:rPr>
                <w:sz w:val="18"/>
                <w:szCs w:val="18"/>
              </w:rPr>
            </w:pPr>
            <w:r w:rsidRPr="0002348A">
              <w:rPr>
                <w:sz w:val="18"/>
                <w:szCs w:val="18"/>
              </w:rPr>
              <w:t xml:space="preserve">Item 5 of the broker-dealer’s customer reserve computation does not completely and </w:t>
            </w:r>
            <w:r w:rsidRPr="0002348A">
              <w:rPr>
                <w:sz w:val="18"/>
                <w:szCs w:val="18"/>
              </w:rPr>
              <w:lastRenderedPageBreak/>
              <w:t>accurately include the short market value of customers’ fully-paid or excess margin securities attributable or allocable to short positions in non-customer accounts.</w:t>
            </w:r>
          </w:p>
        </w:tc>
      </w:tr>
      <w:tr w:rsidR="00651D6B" w14:paraId="4DA254CB" w14:textId="77777777" w:rsidTr="00E26D05">
        <w:tc>
          <w:tcPr>
            <w:tcW w:w="3325" w:type="dxa"/>
          </w:tcPr>
          <w:p w14:paraId="07195331" w14:textId="77777777" w:rsidR="00651D6B" w:rsidRPr="007902C3" w:rsidRDefault="00651D6B" w:rsidP="00E26D05">
            <w:pPr>
              <w:rPr>
                <w:b/>
                <w:bCs/>
                <w:sz w:val="20"/>
                <w:szCs w:val="20"/>
              </w:rPr>
            </w:pPr>
            <w:r>
              <w:rPr>
                <w:b/>
                <w:bCs/>
                <w:sz w:val="20"/>
                <w:szCs w:val="20"/>
              </w:rPr>
              <w:lastRenderedPageBreak/>
              <w:t>Credits in the formula</w:t>
            </w:r>
          </w:p>
          <w:p w14:paraId="71993665" w14:textId="77777777" w:rsidR="00651D6B" w:rsidRDefault="00651D6B" w:rsidP="00E26D05">
            <w:pPr>
              <w:rPr>
                <w:b/>
                <w:bCs/>
                <w:sz w:val="20"/>
                <w:szCs w:val="20"/>
              </w:rPr>
            </w:pPr>
            <w:r>
              <w:rPr>
                <w:sz w:val="18"/>
                <w:szCs w:val="18"/>
              </w:rPr>
              <w:t>A broker-dealer's customer reserve calculation must include market value of stock dividends, stock splits and similar distributions receivable outstanding over 30 calendar days</w:t>
            </w:r>
          </w:p>
        </w:tc>
        <w:tc>
          <w:tcPr>
            <w:tcW w:w="3060" w:type="dxa"/>
          </w:tcPr>
          <w:p w14:paraId="1DC8B85B" w14:textId="77777777" w:rsidR="00651D6B" w:rsidRPr="006316C8" w:rsidRDefault="00651D6B" w:rsidP="00E26D05">
            <w:pPr>
              <w:rPr>
                <w:b/>
                <w:bCs/>
                <w:i/>
                <w:iCs/>
                <w:sz w:val="18"/>
                <w:szCs w:val="18"/>
              </w:rPr>
            </w:pPr>
            <w:r w:rsidRPr="006316C8">
              <w:rPr>
                <w:b/>
                <w:bCs/>
                <w:i/>
                <w:iCs/>
                <w:sz w:val="18"/>
                <w:szCs w:val="18"/>
              </w:rPr>
              <w:t>SEC Rule 15c3-3 (Customer Reserve Rule)</w:t>
            </w:r>
          </w:p>
          <w:p w14:paraId="385531AF" w14:textId="77777777" w:rsidR="00651D6B" w:rsidRPr="009E6BA3" w:rsidRDefault="00651D6B" w:rsidP="00E26D05">
            <w:pPr>
              <w:rPr>
                <w:i/>
                <w:iCs/>
                <w:sz w:val="18"/>
                <w:szCs w:val="18"/>
              </w:rPr>
            </w:pPr>
            <w:r w:rsidRPr="009E6BA3">
              <w:rPr>
                <w:i/>
                <w:iCs/>
                <w:sz w:val="18"/>
                <w:szCs w:val="18"/>
              </w:rPr>
              <w:t>15c3-3(Exhibit A – Item 6)</w:t>
            </w:r>
          </w:p>
          <w:p w14:paraId="375FCA03" w14:textId="77777777" w:rsidR="00651D6B" w:rsidRPr="006316C8" w:rsidRDefault="00651D6B" w:rsidP="00E26D05">
            <w:pPr>
              <w:rPr>
                <w:b/>
                <w:bCs/>
                <w:i/>
                <w:iCs/>
                <w:sz w:val="18"/>
                <w:szCs w:val="18"/>
              </w:rPr>
            </w:pPr>
          </w:p>
        </w:tc>
        <w:tc>
          <w:tcPr>
            <w:tcW w:w="2970" w:type="dxa"/>
          </w:tcPr>
          <w:p w14:paraId="70D59AD8" w14:textId="77777777" w:rsidR="00651D6B" w:rsidRDefault="00651D6B" w:rsidP="00651D6B">
            <w:pPr>
              <w:pStyle w:val="ListParagraph"/>
              <w:numPr>
                <w:ilvl w:val="0"/>
                <w:numId w:val="1"/>
              </w:numPr>
              <w:spacing w:after="240" w:line="240" w:lineRule="auto"/>
              <w:rPr>
                <w:sz w:val="18"/>
                <w:szCs w:val="18"/>
              </w:rPr>
            </w:pPr>
            <w:r>
              <w:rPr>
                <w:sz w:val="18"/>
                <w:szCs w:val="18"/>
              </w:rPr>
              <w:t>Item 6 of the broker-dealer’s customer reserve computation does not completely and accurately include the market value of stock dividends, stock splits, and similar distributions receivable which are outstanding for over 30 calendar days.</w:t>
            </w:r>
          </w:p>
        </w:tc>
      </w:tr>
      <w:tr w:rsidR="00651D6B" w14:paraId="47AD8698" w14:textId="77777777" w:rsidTr="00E26D05">
        <w:tc>
          <w:tcPr>
            <w:tcW w:w="3325" w:type="dxa"/>
          </w:tcPr>
          <w:p w14:paraId="679BC131" w14:textId="77777777" w:rsidR="00651D6B" w:rsidRPr="007902C3" w:rsidRDefault="00651D6B" w:rsidP="00E26D05">
            <w:pPr>
              <w:rPr>
                <w:b/>
                <w:bCs/>
                <w:sz w:val="20"/>
                <w:szCs w:val="20"/>
              </w:rPr>
            </w:pPr>
            <w:r>
              <w:rPr>
                <w:b/>
                <w:bCs/>
                <w:sz w:val="20"/>
                <w:szCs w:val="20"/>
              </w:rPr>
              <w:t>Credits in the formula</w:t>
            </w:r>
          </w:p>
          <w:p w14:paraId="5D4F5FA6" w14:textId="77777777" w:rsidR="00651D6B" w:rsidRDefault="00651D6B" w:rsidP="00E26D05">
            <w:pPr>
              <w:rPr>
                <w:b/>
                <w:bCs/>
                <w:sz w:val="20"/>
                <w:szCs w:val="20"/>
              </w:rPr>
            </w:pPr>
            <w:r>
              <w:rPr>
                <w:sz w:val="18"/>
                <w:szCs w:val="18"/>
              </w:rPr>
              <w:t>A broker-dealer's customer reserve calculation must include market value of short security count differences over 30 calendar days old</w:t>
            </w:r>
          </w:p>
        </w:tc>
        <w:tc>
          <w:tcPr>
            <w:tcW w:w="3060" w:type="dxa"/>
          </w:tcPr>
          <w:p w14:paraId="49153DE5" w14:textId="77777777" w:rsidR="00651D6B" w:rsidRPr="006316C8" w:rsidRDefault="00651D6B" w:rsidP="00E26D05">
            <w:pPr>
              <w:rPr>
                <w:b/>
                <w:bCs/>
                <w:i/>
                <w:iCs/>
                <w:sz w:val="18"/>
                <w:szCs w:val="18"/>
              </w:rPr>
            </w:pPr>
            <w:r w:rsidRPr="006316C8">
              <w:rPr>
                <w:b/>
                <w:bCs/>
                <w:i/>
                <w:iCs/>
                <w:sz w:val="18"/>
                <w:szCs w:val="18"/>
              </w:rPr>
              <w:t>SEC Rule 15c3-3 (Customer Reserve Rule)</w:t>
            </w:r>
          </w:p>
          <w:p w14:paraId="4EF444D2" w14:textId="77777777" w:rsidR="00651D6B" w:rsidRPr="009E6BA3" w:rsidRDefault="00651D6B" w:rsidP="00E26D05">
            <w:pPr>
              <w:rPr>
                <w:i/>
                <w:iCs/>
                <w:sz w:val="18"/>
                <w:szCs w:val="18"/>
              </w:rPr>
            </w:pPr>
            <w:r w:rsidRPr="009E6BA3">
              <w:rPr>
                <w:i/>
                <w:iCs/>
                <w:sz w:val="18"/>
                <w:szCs w:val="18"/>
              </w:rPr>
              <w:t xml:space="preserve">15c3-3(Exhibit A – Item </w:t>
            </w:r>
            <w:r>
              <w:rPr>
                <w:i/>
                <w:iCs/>
                <w:sz w:val="18"/>
                <w:szCs w:val="18"/>
              </w:rPr>
              <w:t>7</w:t>
            </w:r>
            <w:r w:rsidRPr="009E6BA3">
              <w:rPr>
                <w:i/>
                <w:iCs/>
                <w:sz w:val="18"/>
                <w:szCs w:val="18"/>
              </w:rPr>
              <w:t>)</w:t>
            </w:r>
          </w:p>
          <w:p w14:paraId="0C0102D6" w14:textId="77777777" w:rsidR="00651D6B" w:rsidRPr="006316C8" w:rsidRDefault="00651D6B" w:rsidP="00E26D05">
            <w:pPr>
              <w:rPr>
                <w:b/>
                <w:bCs/>
                <w:i/>
                <w:iCs/>
                <w:sz w:val="18"/>
                <w:szCs w:val="18"/>
              </w:rPr>
            </w:pPr>
          </w:p>
        </w:tc>
        <w:tc>
          <w:tcPr>
            <w:tcW w:w="2970" w:type="dxa"/>
          </w:tcPr>
          <w:p w14:paraId="1DD6775A" w14:textId="77777777" w:rsidR="00651D6B" w:rsidRDefault="00651D6B" w:rsidP="00651D6B">
            <w:pPr>
              <w:pStyle w:val="ListParagraph"/>
              <w:numPr>
                <w:ilvl w:val="0"/>
                <w:numId w:val="1"/>
              </w:numPr>
              <w:spacing w:after="240" w:line="240" w:lineRule="auto"/>
              <w:rPr>
                <w:sz w:val="18"/>
                <w:szCs w:val="18"/>
              </w:rPr>
            </w:pPr>
            <w:r>
              <w:rPr>
                <w:sz w:val="18"/>
                <w:szCs w:val="18"/>
              </w:rPr>
              <w:t>Item 7 of the broker-dealer’s customer reserve computation does not completely and accurately include the market value of short security count differences which are over 30 calendar days old (or over 7 business days old when using the alternative method in computing net capital).</w:t>
            </w:r>
          </w:p>
        </w:tc>
      </w:tr>
      <w:tr w:rsidR="00651D6B" w14:paraId="31A5D160" w14:textId="77777777" w:rsidTr="00E26D05">
        <w:tc>
          <w:tcPr>
            <w:tcW w:w="3325" w:type="dxa"/>
          </w:tcPr>
          <w:p w14:paraId="67115952" w14:textId="77777777" w:rsidR="00651D6B" w:rsidRPr="007902C3" w:rsidRDefault="00651D6B" w:rsidP="00E26D05">
            <w:pPr>
              <w:rPr>
                <w:b/>
                <w:bCs/>
                <w:sz w:val="20"/>
                <w:szCs w:val="20"/>
              </w:rPr>
            </w:pPr>
            <w:r>
              <w:rPr>
                <w:b/>
                <w:bCs/>
                <w:sz w:val="20"/>
                <w:szCs w:val="20"/>
              </w:rPr>
              <w:t>Credits in the formula</w:t>
            </w:r>
          </w:p>
          <w:p w14:paraId="1F9C9268" w14:textId="77777777" w:rsidR="00651D6B" w:rsidRDefault="00651D6B" w:rsidP="00E26D05">
            <w:pPr>
              <w:rPr>
                <w:b/>
                <w:bCs/>
                <w:sz w:val="20"/>
                <w:szCs w:val="20"/>
              </w:rPr>
            </w:pPr>
            <w:r>
              <w:rPr>
                <w:sz w:val="18"/>
                <w:szCs w:val="18"/>
              </w:rPr>
              <w:t>A broker-dealer's customer reserve calculation must include market value of short securities and credits (not to be offset by longs or by debits) in all suspense accounts over 30 calendar days</w:t>
            </w:r>
          </w:p>
        </w:tc>
        <w:tc>
          <w:tcPr>
            <w:tcW w:w="3060" w:type="dxa"/>
          </w:tcPr>
          <w:p w14:paraId="54A95DAC" w14:textId="77777777" w:rsidR="00651D6B" w:rsidRPr="006316C8" w:rsidRDefault="00651D6B" w:rsidP="00E26D05">
            <w:pPr>
              <w:rPr>
                <w:b/>
                <w:bCs/>
                <w:i/>
                <w:iCs/>
                <w:sz w:val="18"/>
                <w:szCs w:val="18"/>
              </w:rPr>
            </w:pPr>
            <w:r w:rsidRPr="006316C8">
              <w:rPr>
                <w:b/>
                <w:bCs/>
                <w:i/>
                <w:iCs/>
                <w:sz w:val="18"/>
                <w:szCs w:val="18"/>
              </w:rPr>
              <w:t>SEC Rule 15c3-3 (Customer Reserve Rule)</w:t>
            </w:r>
          </w:p>
          <w:p w14:paraId="007B6AAD" w14:textId="77777777" w:rsidR="00651D6B" w:rsidRPr="009E6BA3" w:rsidRDefault="00651D6B" w:rsidP="00E26D05">
            <w:pPr>
              <w:rPr>
                <w:i/>
                <w:iCs/>
                <w:sz w:val="18"/>
                <w:szCs w:val="18"/>
              </w:rPr>
            </w:pPr>
            <w:r w:rsidRPr="009E6BA3">
              <w:rPr>
                <w:i/>
                <w:iCs/>
                <w:sz w:val="18"/>
                <w:szCs w:val="18"/>
              </w:rPr>
              <w:t xml:space="preserve">15c3-3(Exhibit A – Item </w:t>
            </w:r>
            <w:r>
              <w:rPr>
                <w:i/>
                <w:iCs/>
                <w:sz w:val="18"/>
                <w:szCs w:val="18"/>
              </w:rPr>
              <w:t>8</w:t>
            </w:r>
            <w:r w:rsidRPr="009E6BA3">
              <w:rPr>
                <w:i/>
                <w:iCs/>
                <w:sz w:val="18"/>
                <w:szCs w:val="18"/>
              </w:rPr>
              <w:t>)</w:t>
            </w:r>
          </w:p>
          <w:p w14:paraId="19B82480" w14:textId="77777777" w:rsidR="00651D6B" w:rsidRPr="006316C8" w:rsidRDefault="00651D6B" w:rsidP="00E26D05">
            <w:pPr>
              <w:rPr>
                <w:b/>
                <w:bCs/>
                <w:i/>
                <w:iCs/>
                <w:sz w:val="18"/>
                <w:szCs w:val="18"/>
              </w:rPr>
            </w:pPr>
          </w:p>
        </w:tc>
        <w:tc>
          <w:tcPr>
            <w:tcW w:w="2970" w:type="dxa"/>
          </w:tcPr>
          <w:p w14:paraId="485CF813" w14:textId="77777777" w:rsidR="00651D6B" w:rsidRDefault="00651D6B" w:rsidP="00651D6B">
            <w:pPr>
              <w:pStyle w:val="ListParagraph"/>
              <w:numPr>
                <w:ilvl w:val="0"/>
                <w:numId w:val="1"/>
              </w:numPr>
              <w:spacing w:after="240" w:line="240" w:lineRule="auto"/>
              <w:rPr>
                <w:sz w:val="18"/>
                <w:szCs w:val="18"/>
              </w:rPr>
            </w:pPr>
            <w:r>
              <w:rPr>
                <w:sz w:val="18"/>
                <w:szCs w:val="18"/>
              </w:rPr>
              <w:t>Item 8 of the broker-dealer’s customer reserve computation does not completely and accurately include the market value of short securities and credits (not to be offset by longs or by debits) in all suspense, difference, DK, and similar accounts used to record “Suspense” items, including all suspense credits and unclaimed dividend credits, regardless of whether they have been identified as non-customer credits, which are over 30 calendar days old (or over 7 business days old when using the alternative method in computing net capital).</w:t>
            </w:r>
          </w:p>
        </w:tc>
      </w:tr>
      <w:tr w:rsidR="00651D6B" w14:paraId="587B589C" w14:textId="77777777" w:rsidTr="00E26D05">
        <w:tc>
          <w:tcPr>
            <w:tcW w:w="3325" w:type="dxa"/>
          </w:tcPr>
          <w:p w14:paraId="415E1136" w14:textId="77777777" w:rsidR="00651D6B" w:rsidRPr="007902C3" w:rsidRDefault="00651D6B" w:rsidP="00E26D05">
            <w:pPr>
              <w:rPr>
                <w:b/>
                <w:bCs/>
                <w:sz w:val="20"/>
                <w:szCs w:val="20"/>
              </w:rPr>
            </w:pPr>
            <w:r>
              <w:rPr>
                <w:b/>
                <w:bCs/>
                <w:sz w:val="20"/>
                <w:szCs w:val="20"/>
              </w:rPr>
              <w:t>Credits in the formula</w:t>
            </w:r>
          </w:p>
          <w:p w14:paraId="50C72D71" w14:textId="77777777" w:rsidR="00651D6B" w:rsidRDefault="00651D6B" w:rsidP="00E26D05">
            <w:pPr>
              <w:rPr>
                <w:b/>
                <w:bCs/>
                <w:sz w:val="20"/>
                <w:szCs w:val="20"/>
              </w:rPr>
            </w:pPr>
            <w:r>
              <w:rPr>
                <w:sz w:val="18"/>
                <w:szCs w:val="18"/>
              </w:rPr>
              <w:t>A broker-dealer's customer reserve calculation must include market value of securities which are in transfer in excess of 40 calendar days and have not been confirmed to be in transfer by the transfer agent or the issuer during the 40 days</w:t>
            </w:r>
          </w:p>
        </w:tc>
        <w:tc>
          <w:tcPr>
            <w:tcW w:w="3060" w:type="dxa"/>
          </w:tcPr>
          <w:p w14:paraId="04272651" w14:textId="77777777" w:rsidR="00651D6B" w:rsidRPr="006316C8" w:rsidRDefault="00651D6B" w:rsidP="00E26D05">
            <w:pPr>
              <w:rPr>
                <w:b/>
                <w:bCs/>
                <w:i/>
                <w:iCs/>
                <w:sz w:val="18"/>
                <w:szCs w:val="18"/>
              </w:rPr>
            </w:pPr>
            <w:r w:rsidRPr="006316C8">
              <w:rPr>
                <w:b/>
                <w:bCs/>
                <w:i/>
                <w:iCs/>
                <w:sz w:val="18"/>
                <w:szCs w:val="18"/>
              </w:rPr>
              <w:t>SEC Rule 15c3-3 (Customer Reserve Rule)</w:t>
            </w:r>
          </w:p>
          <w:p w14:paraId="6CF591DE" w14:textId="77777777" w:rsidR="00651D6B" w:rsidRPr="009E6BA3" w:rsidRDefault="00651D6B" w:rsidP="00E26D05">
            <w:pPr>
              <w:rPr>
                <w:i/>
                <w:iCs/>
                <w:sz w:val="18"/>
                <w:szCs w:val="18"/>
              </w:rPr>
            </w:pPr>
            <w:r w:rsidRPr="009E6BA3">
              <w:rPr>
                <w:i/>
                <w:iCs/>
                <w:sz w:val="18"/>
                <w:szCs w:val="18"/>
              </w:rPr>
              <w:t xml:space="preserve">15c3-3(Exhibit A – Item </w:t>
            </w:r>
            <w:r>
              <w:rPr>
                <w:i/>
                <w:iCs/>
                <w:sz w:val="18"/>
                <w:szCs w:val="18"/>
              </w:rPr>
              <w:t>9</w:t>
            </w:r>
            <w:r w:rsidRPr="009E6BA3">
              <w:rPr>
                <w:i/>
                <w:iCs/>
                <w:sz w:val="18"/>
                <w:szCs w:val="18"/>
              </w:rPr>
              <w:t>)</w:t>
            </w:r>
          </w:p>
          <w:p w14:paraId="23E9E471" w14:textId="77777777" w:rsidR="00651D6B" w:rsidRPr="006316C8" w:rsidRDefault="00651D6B" w:rsidP="00E26D05">
            <w:pPr>
              <w:rPr>
                <w:b/>
                <w:bCs/>
                <w:i/>
                <w:iCs/>
                <w:sz w:val="18"/>
                <w:szCs w:val="18"/>
              </w:rPr>
            </w:pPr>
          </w:p>
        </w:tc>
        <w:tc>
          <w:tcPr>
            <w:tcW w:w="2970" w:type="dxa"/>
          </w:tcPr>
          <w:p w14:paraId="5EED8104" w14:textId="77777777" w:rsidR="00651D6B" w:rsidRDefault="00651D6B" w:rsidP="00651D6B">
            <w:pPr>
              <w:pStyle w:val="ListParagraph"/>
              <w:numPr>
                <w:ilvl w:val="0"/>
                <w:numId w:val="1"/>
              </w:numPr>
              <w:spacing w:after="240" w:line="240" w:lineRule="auto"/>
              <w:rPr>
                <w:sz w:val="18"/>
                <w:szCs w:val="18"/>
              </w:rPr>
            </w:pPr>
            <w:r>
              <w:rPr>
                <w:sz w:val="18"/>
                <w:szCs w:val="18"/>
              </w:rPr>
              <w:t>Item 9 of the broker-dealer’s customer reserve computation does not completely and accurately include the market value of securities which are in transfer in excess of 40 calendar days and have not been confirmed to be in transfer by the transfer agent or the issuer during the 40 days.</w:t>
            </w:r>
          </w:p>
        </w:tc>
      </w:tr>
      <w:tr w:rsidR="00651D6B" w14:paraId="0C4B1169" w14:textId="77777777" w:rsidTr="00E26D05">
        <w:trPr>
          <w:trHeight w:val="3581"/>
        </w:trPr>
        <w:tc>
          <w:tcPr>
            <w:tcW w:w="3325" w:type="dxa"/>
          </w:tcPr>
          <w:p w14:paraId="0F033091" w14:textId="77777777" w:rsidR="00651D6B" w:rsidRPr="007902C3" w:rsidRDefault="00651D6B" w:rsidP="00E26D05">
            <w:pPr>
              <w:rPr>
                <w:b/>
                <w:bCs/>
                <w:sz w:val="20"/>
                <w:szCs w:val="20"/>
              </w:rPr>
            </w:pPr>
            <w:r>
              <w:rPr>
                <w:b/>
                <w:bCs/>
                <w:sz w:val="20"/>
                <w:szCs w:val="20"/>
              </w:rPr>
              <w:lastRenderedPageBreak/>
              <w:t>Debits in the formula</w:t>
            </w:r>
          </w:p>
          <w:p w14:paraId="086AE0A1" w14:textId="77777777" w:rsidR="00651D6B" w:rsidRDefault="00651D6B" w:rsidP="00E26D05">
            <w:pPr>
              <w:rPr>
                <w:b/>
                <w:bCs/>
                <w:sz w:val="20"/>
                <w:szCs w:val="20"/>
              </w:rPr>
            </w:pPr>
            <w:r>
              <w:rPr>
                <w:sz w:val="18"/>
                <w:szCs w:val="18"/>
              </w:rPr>
              <w:t>A broker-dealer's customer reserve calculation must include debit balances in customers’ cash and margin accounts excluding unsecured accounts and accounts doubtful of collection</w:t>
            </w:r>
          </w:p>
        </w:tc>
        <w:tc>
          <w:tcPr>
            <w:tcW w:w="3060" w:type="dxa"/>
          </w:tcPr>
          <w:p w14:paraId="07382B93" w14:textId="77777777" w:rsidR="00651D6B" w:rsidRPr="006316C8" w:rsidRDefault="00651D6B" w:rsidP="00E26D05">
            <w:pPr>
              <w:rPr>
                <w:b/>
                <w:bCs/>
                <w:i/>
                <w:iCs/>
                <w:sz w:val="18"/>
                <w:szCs w:val="18"/>
              </w:rPr>
            </w:pPr>
            <w:r w:rsidRPr="006316C8">
              <w:rPr>
                <w:b/>
                <w:bCs/>
                <w:i/>
                <w:iCs/>
                <w:sz w:val="18"/>
                <w:szCs w:val="18"/>
              </w:rPr>
              <w:t>SEC Rule 15c3-3 (Customer Reserve Rule)</w:t>
            </w:r>
          </w:p>
          <w:p w14:paraId="10EC6AE4" w14:textId="77777777" w:rsidR="00651D6B" w:rsidRPr="009E6BA3" w:rsidRDefault="00651D6B" w:rsidP="00E26D05">
            <w:pPr>
              <w:rPr>
                <w:i/>
                <w:iCs/>
                <w:sz w:val="18"/>
                <w:szCs w:val="18"/>
              </w:rPr>
            </w:pPr>
            <w:r w:rsidRPr="009E6BA3">
              <w:rPr>
                <w:i/>
                <w:iCs/>
                <w:sz w:val="18"/>
                <w:szCs w:val="18"/>
              </w:rPr>
              <w:t>15c3-3(Exhibit A – Item 10)</w:t>
            </w:r>
          </w:p>
          <w:p w14:paraId="58CD610D" w14:textId="77777777" w:rsidR="00651D6B" w:rsidRPr="009E6BA3" w:rsidRDefault="00651D6B" w:rsidP="00E26D05">
            <w:pPr>
              <w:rPr>
                <w:i/>
                <w:iCs/>
                <w:sz w:val="18"/>
                <w:szCs w:val="18"/>
              </w:rPr>
            </w:pPr>
            <w:r w:rsidRPr="009E6BA3">
              <w:rPr>
                <w:i/>
                <w:iCs/>
                <w:sz w:val="18"/>
                <w:szCs w:val="18"/>
              </w:rPr>
              <w:t>15c3-3(Exhibit A – Note E)</w:t>
            </w:r>
          </w:p>
          <w:p w14:paraId="5A1120B7" w14:textId="77777777" w:rsidR="00651D6B" w:rsidRPr="009E6BA3" w:rsidRDefault="00651D6B" w:rsidP="00E26D05">
            <w:pPr>
              <w:rPr>
                <w:i/>
                <w:iCs/>
                <w:sz w:val="18"/>
                <w:szCs w:val="18"/>
              </w:rPr>
            </w:pPr>
            <w:r w:rsidRPr="009E6BA3">
              <w:rPr>
                <w:i/>
                <w:iCs/>
                <w:sz w:val="18"/>
                <w:szCs w:val="18"/>
              </w:rPr>
              <w:t>15c3-3(Exhibit A – Item 10)/01-0120</w:t>
            </w:r>
          </w:p>
          <w:p w14:paraId="5E20E305" w14:textId="77777777" w:rsidR="00651D6B" w:rsidRPr="009E6BA3" w:rsidRDefault="00651D6B" w:rsidP="00E26D05">
            <w:pPr>
              <w:rPr>
                <w:i/>
                <w:iCs/>
                <w:sz w:val="18"/>
                <w:szCs w:val="18"/>
              </w:rPr>
            </w:pPr>
            <w:r w:rsidRPr="009E6BA3">
              <w:rPr>
                <w:i/>
                <w:iCs/>
                <w:sz w:val="18"/>
                <w:szCs w:val="18"/>
              </w:rPr>
              <w:t>15c3-3(Exhibit A – Item 10)/017</w:t>
            </w:r>
          </w:p>
          <w:p w14:paraId="2EB22F27" w14:textId="77777777" w:rsidR="00651D6B" w:rsidRPr="009E6BA3" w:rsidRDefault="00651D6B" w:rsidP="00E26D05">
            <w:pPr>
              <w:rPr>
                <w:i/>
                <w:iCs/>
                <w:sz w:val="18"/>
                <w:szCs w:val="18"/>
              </w:rPr>
            </w:pPr>
            <w:r w:rsidRPr="009E6BA3">
              <w:rPr>
                <w:i/>
                <w:iCs/>
                <w:sz w:val="18"/>
                <w:szCs w:val="18"/>
              </w:rPr>
              <w:t>15c3-3(Exhibit A – Item 10)/032</w:t>
            </w:r>
          </w:p>
          <w:p w14:paraId="04C7BA12" w14:textId="77777777" w:rsidR="00651D6B" w:rsidRPr="006316C8" w:rsidRDefault="00651D6B" w:rsidP="00E26D05">
            <w:pPr>
              <w:rPr>
                <w:b/>
                <w:bCs/>
                <w:i/>
                <w:iCs/>
                <w:sz w:val="18"/>
                <w:szCs w:val="18"/>
              </w:rPr>
            </w:pPr>
            <w:r w:rsidRPr="009E6BA3">
              <w:rPr>
                <w:i/>
                <w:iCs/>
                <w:sz w:val="18"/>
                <w:szCs w:val="18"/>
              </w:rPr>
              <w:t>15c3-3(Exhibit A – Item 10)/09</w:t>
            </w:r>
          </w:p>
        </w:tc>
        <w:tc>
          <w:tcPr>
            <w:tcW w:w="2970" w:type="dxa"/>
          </w:tcPr>
          <w:p w14:paraId="7D3A0247" w14:textId="77777777" w:rsidR="00651D6B" w:rsidRDefault="00651D6B" w:rsidP="00651D6B">
            <w:pPr>
              <w:pStyle w:val="ListParagraph"/>
              <w:numPr>
                <w:ilvl w:val="0"/>
                <w:numId w:val="1"/>
              </w:numPr>
              <w:spacing w:after="240" w:line="240" w:lineRule="auto"/>
              <w:rPr>
                <w:sz w:val="18"/>
                <w:szCs w:val="18"/>
              </w:rPr>
            </w:pPr>
            <w:r>
              <w:rPr>
                <w:sz w:val="18"/>
                <w:szCs w:val="18"/>
              </w:rPr>
              <w:t>Item 10 inaccurately includes margin loans that are not fully secured by salable securities within regulatory requirements.</w:t>
            </w:r>
          </w:p>
          <w:p w14:paraId="35765169" w14:textId="77777777" w:rsidR="00651D6B" w:rsidRDefault="00651D6B" w:rsidP="00651D6B">
            <w:pPr>
              <w:pStyle w:val="ListParagraph"/>
              <w:numPr>
                <w:ilvl w:val="0"/>
                <w:numId w:val="1"/>
              </w:numPr>
              <w:spacing w:after="240" w:line="240" w:lineRule="auto"/>
              <w:rPr>
                <w:sz w:val="18"/>
                <w:szCs w:val="18"/>
              </w:rPr>
            </w:pPr>
            <w:r>
              <w:rPr>
                <w:sz w:val="18"/>
                <w:szCs w:val="18"/>
              </w:rPr>
              <w:t>Item 10 inaccurately includes debits in excess of 25% of the broker-dealer's tentative net capital.</w:t>
            </w:r>
          </w:p>
          <w:p w14:paraId="171DE71D" w14:textId="77777777" w:rsidR="00651D6B" w:rsidRDefault="00651D6B" w:rsidP="00651D6B">
            <w:pPr>
              <w:pStyle w:val="ListParagraph"/>
              <w:numPr>
                <w:ilvl w:val="0"/>
                <w:numId w:val="1"/>
              </w:numPr>
              <w:spacing w:after="240" w:line="240" w:lineRule="auto"/>
              <w:rPr>
                <w:sz w:val="18"/>
                <w:szCs w:val="18"/>
              </w:rPr>
            </w:pPr>
            <w:r>
              <w:rPr>
                <w:sz w:val="18"/>
                <w:szCs w:val="18"/>
              </w:rPr>
              <w:t>Item 10 inaccurately includes non-purpose loan amounts.</w:t>
            </w:r>
          </w:p>
          <w:p w14:paraId="7137FF53" w14:textId="77777777" w:rsidR="00651D6B" w:rsidRDefault="00651D6B" w:rsidP="00651D6B">
            <w:pPr>
              <w:pStyle w:val="ListParagraph"/>
              <w:numPr>
                <w:ilvl w:val="0"/>
                <w:numId w:val="1"/>
              </w:numPr>
              <w:spacing w:after="240" w:line="240" w:lineRule="auto"/>
              <w:rPr>
                <w:sz w:val="18"/>
                <w:szCs w:val="18"/>
              </w:rPr>
            </w:pPr>
            <w:r>
              <w:rPr>
                <w:sz w:val="18"/>
                <w:szCs w:val="18"/>
              </w:rPr>
              <w:t>Item 10 includes loans extended on stock option exercises that do not meet regulatory requirements.</w:t>
            </w:r>
          </w:p>
        </w:tc>
      </w:tr>
      <w:tr w:rsidR="00651D6B" w14:paraId="598F1EA1" w14:textId="77777777" w:rsidTr="00E26D05">
        <w:tc>
          <w:tcPr>
            <w:tcW w:w="3325" w:type="dxa"/>
          </w:tcPr>
          <w:p w14:paraId="36E79F2B" w14:textId="77777777" w:rsidR="00651D6B" w:rsidRPr="007902C3" w:rsidRDefault="00651D6B" w:rsidP="00E26D05">
            <w:pPr>
              <w:rPr>
                <w:b/>
                <w:bCs/>
                <w:sz w:val="20"/>
                <w:szCs w:val="20"/>
              </w:rPr>
            </w:pPr>
            <w:r>
              <w:rPr>
                <w:b/>
                <w:bCs/>
                <w:sz w:val="20"/>
                <w:szCs w:val="20"/>
              </w:rPr>
              <w:t>Debits in the formula</w:t>
            </w:r>
          </w:p>
          <w:p w14:paraId="6ED20D09" w14:textId="77777777" w:rsidR="00651D6B" w:rsidRDefault="00651D6B" w:rsidP="00E26D05">
            <w:pPr>
              <w:rPr>
                <w:b/>
                <w:bCs/>
                <w:sz w:val="20"/>
                <w:szCs w:val="20"/>
              </w:rPr>
            </w:pPr>
            <w:r>
              <w:rPr>
                <w:sz w:val="18"/>
                <w:szCs w:val="18"/>
              </w:rPr>
              <w:t>A broker-dealer's customer reserve calculation must include securities borrowed to effectuate short sales by customers and securities borrowed to make delivery on customers’ securities failed-to-deliver</w:t>
            </w:r>
          </w:p>
        </w:tc>
        <w:tc>
          <w:tcPr>
            <w:tcW w:w="3060" w:type="dxa"/>
          </w:tcPr>
          <w:p w14:paraId="0B4AF900" w14:textId="77777777" w:rsidR="00651D6B" w:rsidRPr="006316C8" w:rsidRDefault="00651D6B" w:rsidP="00E26D05">
            <w:pPr>
              <w:rPr>
                <w:b/>
                <w:bCs/>
                <w:i/>
                <w:iCs/>
                <w:sz w:val="18"/>
                <w:szCs w:val="18"/>
              </w:rPr>
            </w:pPr>
            <w:r w:rsidRPr="006316C8">
              <w:rPr>
                <w:b/>
                <w:bCs/>
                <w:i/>
                <w:iCs/>
                <w:sz w:val="18"/>
                <w:szCs w:val="18"/>
              </w:rPr>
              <w:t>SEC Rule 15c3-3 (Customer Reserve Rule)</w:t>
            </w:r>
          </w:p>
          <w:p w14:paraId="563F29AC" w14:textId="77777777" w:rsidR="00651D6B" w:rsidRPr="009744B0" w:rsidRDefault="00651D6B" w:rsidP="00E26D05">
            <w:pPr>
              <w:rPr>
                <w:i/>
                <w:iCs/>
                <w:sz w:val="18"/>
                <w:szCs w:val="18"/>
              </w:rPr>
            </w:pPr>
            <w:r w:rsidRPr="009744B0">
              <w:rPr>
                <w:i/>
                <w:iCs/>
                <w:sz w:val="18"/>
                <w:szCs w:val="18"/>
              </w:rPr>
              <w:t>15c3-3(Exhibit A – Item 11)</w:t>
            </w:r>
          </w:p>
          <w:p w14:paraId="502E9FEC" w14:textId="77777777" w:rsidR="00651D6B" w:rsidRPr="009744B0" w:rsidRDefault="00651D6B" w:rsidP="00E26D05">
            <w:pPr>
              <w:rPr>
                <w:i/>
                <w:iCs/>
                <w:sz w:val="18"/>
                <w:szCs w:val="18"/>
              </w:rPr>
            </w:pPr>
            <w:r w:rsidRPr="009744B0">
              <w:rPr>
                <w:i/>
                <w:iCs/>
                <w:sz w:val="18"/>
                <w:szCs w:val="18"/>
              </w:rPr>
              <w:t>15c3-3(Exhibit A – Item 11)/01</w:t>
            </w:r>
          </w:p>
          <w:p w14:paraId="27BA04EA" w14:textId="77777777" w:rsidR="00651D6B" w:rsidRPr="009744B0" w:rsidRDefault="00651D6B" w:rsidP="00E26D05">
            <w:pPr>
              <w:rPr>
                <w:i/>
                <w:iCs/>
                <w:sz w:val="18"/>
                <w:szCs w:val="18"/>
              </w:rPr>
            </w:pPr>
            <w:r w:rsidRPr="009744B0">
              <w:rPr>
                <w:i/>
                <w:iCs/>
                <w:sz w:val="18"/>
                <w:szCs w:val="18"/>
              </w:rPr>
              <w:t>15c3-3(Exhibit A – Item 11)/03</w:t>
            </w:r>
          </w:p>
          <w:p w14:paraId="265B593B" w14:textId="77777777" w:rsidR="00651D6B" w:rsidRPr="006316C8" w:rsidRDefault="00651D6B" w:rsidP="00E26D05">
            <w:pPr>
              <w:rPr>
                <w:b/>
                <w:bCs/>
                <w:i/>
                <w:iCs/>
                <w:sz w:val="18"/>
                <w:szCs w:val="18"/>
              </w:rPr>
            </w:pPr>
          </w:p>
        </w:tc>
        <w:tc>
          <w:tcPr>
            <w:tcW w:w="2970" w:type="dxa"/>
          </w:tcPr>
          <w:p w14:paraId="197AE635" w14:textId="77777777" w:rsidR="00651D6B" w:rsidRDefault="00651D6B" w:rsidP="00651D6B">
            <w:pPr>
              <w:pStyle w:val="ListParagraph"/>
              <w:numPr>
                <w:ilvl w:val="0"/>
                <w:numId w:val="1"/>
              </w:numPr>
              <w:spacing w:after="240" w:line="240" w:lineRule="auto"/>
              <w:rPr>
                <w:sz w:val="18"/>
                <w:szCs w:val="18"/>
              </w:rPr>
            </w:pPr>
            <w:r>
              <w:rPr>
                <w:sz w:val="18"/>
                <w:szCs w:val="18"/>
              </w:rPr>
              <w:t>Item 11 includes securities borrowed that are not collateralized within regulatory requirements by cash, securities, or a secured letter of credit.</w:t>
            </w:r>
          </w:p>
          <w:p w14:paraId="1ADE3475" w14:textId="77777777" w:rsidR="00651D6B" w:rsidRPr="009744B0" w:rsidRDefault="00651D6B" w:rsidP="00651D6B">
            <w:pPr>
              <w:pStyle w:val="ListParagraph"/>
              <w:numPr>
                <w:ilvl w:val="0"/>
                <w:numId w:val="1"/>
              </w:numPr>
              <w:spacing w:after="240" w:line="240" w:lineRule="auto"/>
              <w:rPr>
                <w:sz w:val="18"/>
                <w:szCs w:val="18"/>
              </w:rPr>
            </w:pPr>
            <w:r>
              <w:rPr>
                <w:sz w:val="18"/>
                <w:szCs w:val="18"/>
              </w:rPr>
              <w:t>Item 11 includes securities borrowed that are not allocated to customer accounts or transactions in accordance with regulatory requirements.</w:t>
            </w:r>
          </w:p>
        </w:tc>
      </w:tr>
      <w:tr w:rsidR="00651D6B" w14:paraId="1D9299AE" w14:textId="77777777" w:rsidTr="00E26D05">
        <w:tc>
          <w:tcPr>
            <w:tcW w:w="3325" w:type="dxa"/>
          </w:tcPr>
          <w:p w14:paraId="6296F42E" w14:textId="77777777" w:rsidR="00651D6B" w:rsidRPr="007902C3" w:rsidRDefault="00651D6B" w:rsidP="00E26D05">
            <w:pPr>
              <w:rPr>
                <w:b/>
                <w:bCs/>
                <w:sz w:val="20"/>
                <w:szCs w:val="20"/>
              </w:rPr>
            </w:pPr>
            <w:r>
              <w:rPr>
                <w:b/>
                <w:bCs/>
                <w:sz w:val="20"/>
                <w:szCs w:val="20"/>
              </w:rPr>
              <w:t>Debits in the formula</w:t>
            </w:r>
          </w:p>
          <w:p w14:paraId="542285EA" w14:textId="77777777" w:rsidR="00651D6B" w:rsidRDefault="00651D6B" w:rsidP="00E26D05">
            <w:pPr>
              <w:rPr>
                <w:b/>
                <w:bCs/>
                <w:sz w:val="20"/>
                <w:szCs w:val="20"/>
              </w:rPr>
            </w:pPr>
            <w:r>
              <w:rPr>
                <w:sz w:val="18"/>
                <w:szCs w:val="18"/>
              </w:rPr>
              <w:t>A broker-dealer's customer reserve calculation must include failed-to-deliver of customers’ securities not older than 30 calendar days</w:t>
            </w:r>
          </w:p>
        </w:tc>
        <w:tc>
          <w:tcPr>
            <w:tcW w:w="3060" w:type="dxa"/>
          </w:tcPr>
          <w:p w14:paraId="4B784FDA" w14:textId="77777777" w:rsidR="00651D6B" w:rsidRPr="006316C8" w:rsidRDefault="00651D6B" w:rsidP="00E26D05">
            <w:pPr>
              <w:rPr>
                <w:b/>
                <w:bCs/>
                <w:i/>
                <w:iCs/>
                <w:sz w:val="18"/>
                <w:szCs w:val="18"/>
              </w:rPr>
            </w:pPr>
            <w:r w:rsidRPr="006316C8">
              <w:rPr>
                <w:b/>
                <w:bCs/>
                <w:i/>
                <w:iCs/>
                <w:sz w:val="18"/>
                <w:szCs w:val="18"/>
              </w:rPr>
              <w:t>SEC Rule 15c3-3 (Customer Reserve Rule)</w:t>
            </w:r>
          </w:p>
          <w:p w14:paraId="619C42F9" w14:textId="77777777" w:rsidR="00651D6B" w:rsidRPr="009744B0" w:rsidRDefault="00651D6B" w:rsidP="00E26D05">
            <w:pPr>
              <w:rPr>
                <w:i/>
                <w:iCs/>
                <w:sz w:val="18"/>
                <w:szCs w:val="18"/>
              </w:rPr>
            </w:pPr>
            <w:r w:rsidRPr="009744B0">
              <w:rPr>
                <w:i/>
                <w:iCs/>
                <w:sz w:val="18"/>
                <w:szCs w:val="18"/>
              </w:rPr>
              <w:t>15c3-3(Exhibit A – Item 12)</w:t>
            </w:r>
          </w:p>
          <w:p w14:paraId="42C2300F" w14:textId="77777777" w:rsidR="00651D6B" w:rsidRPr="006316C8" w:rsidRDefault="00651D6B" w:rsidP="00E26D05">
            <w:pPr>
              <w:rPr>
                <w:b/>
                <w:bCs/>
                <w:i/>
                <w:iCs/>
                <w:sz w:val="18"/>
                <w:szCs w:val="18"/>
              </w:rPr>
            </w:pPr>
            <w:r w:rsidRPr="009744B0">
              <w:rPr>
                <w:i/>
                <w:iCs/>
                <w:sz w:val="18"/>
                <w:szCs w:val="18"/>
              </w:rPr>
              <w:t>15c3-3(Exhibit A – Item 12)/08</w:t>
            </w:r>
          </w:p>
        </w:tc>
        <w:tc>
          <w:tcPr>
            <w:tcW w:w="2970" w:type="dxa"/>
          </w:tcPr>
          <w:p w14:paraId="2EBA94FA" w14:textId="77777777" w:rsidR="00651D6B" w:rsidRDefault="00651D6B" w:rsidP="00651D6B">
            <w:pPr>
              <w:pStyle w:val="ListParagraph"/>
              <w:numPr>
                <w:ilvl w:val="0"/>
                <w:numId w:val="1"/>
              </w:numPr>
              <w:spacing w:after="240" w:line="240" w:lineRule="auto"/>
              <w:rPr>
                <w:sz w:val="18"/>
                <w:szCs w:val="18"/>
              </w:rPr>
            </w:pPr>
            <w:r>
              <w:rPr>
                <w:sz w:val="18"/>
                <w:szCs w:val="18"/>
              </w:rPr>
              <w:t>Item 12 includes fail-to-deliver amounts that are not allocated to customer accounts or transactions in accordance with regulatory requirements.</w:t>
            </w:r>
          </w:p>
          <w:p w14:paraId="46F21961" w14:textId="77777777" w:rsidR="00651D6B" w:rsidRDefault="00651D6B" w:rsidP="00651D6B">
            <w:pPr>
              <w:pStyle w:val="ListParagraph"/>
              <w:numPr>
                <w:ilvl w:val="0"/>
                <w:numId w:val="1"/>
              </w:numPr>
              <w:spacing w:after="240" w:line="240" w:lineRule="auto"/>
              <w:rPr>
                <w:sz w:val="18"/>
                <w:szCs w:val="18"/>
              </w:rPr>
            </w:pPr>
            <w:r>
              <w:rPr>
                <w:sz w:val="18"/>
                <w:szCs w:val="18"/>
              </w:rPr>
              <w:t>Item 12 includes fail-to-deliver amounts that are not accurately and completely aged in accordance with regulatory requirements.</w:t>
            </w:r>
          </w:p>
          <w:p w14:paraId="50C480EB" w14:textId="77777777" w:rsidR="00651D6B" w:rsidRDefault="00651D6B" w:rsidP="00E26D05">
            <w:pPr>
              <w:pStyle w:val="ListParagraph"/>
              <w:spacing w:after="240" w:line="240" w:lineRule="auto"/>
              <w:ind w:left="360"/>
              <w:rPr>
                <w:sz w:val="18"/>
                <w:szCs w:val="18"/>
              </w:rPr>
            </w:pPr>
          </w:p>
        </w:tc>
      </w:tr>
      <w:tr w:rsidR="00651D6B" w14:paraId="5E226571" w14:textId="77777777" w:rsidTr="00E26D05">
        <w:tc>
          <w:tcPr>
            <w:tcW w:w="3325" w:type="dxa"/>
          </w:tcPr>
          <w:p w14:paraId="1C1E67AD" w14:textId="77777777" w:rsidR="00651D6B" w:rsidRPr="007902C3" w:rsidRDefault="00651D6B" w:rsidP="00E26D05">
            <w:pPr>
              <w:rPr>
                <w:b/>
                <w:bCs/>
                <w:sz w:val="20"/>
                <w:szCs w:val="20"/>
              </w:rPr>
            </w:pPr>
            <w:r>
              <w:rPr>
                <w:b/>
                <w:bCs/>
                <w:sz w:val="20"/>
                <w:szCs w:val="20"/>
              </w:rPr>
              <w:t>Debits in the formula</w:t>
            </w:r>
          </w:p>
          <w:p w14:paraId="557C2BEB" w14:textId="77777777" w:rsidR="00651D6B" w:rsidRDefault="00651D6B" w:rsidP="00E26D05">
            <w:pPr>
              <w:rPr>
                <w:b/>
                <w:bCs/>
                <w:sz w:val="20"/>
                <w:szCs w:val="20"/>
              </w:rPr>
            </w:pPr>
            <w:r>
              <w:rPr>
                <w:sz w:val="18"/>
                <w:szCs w:val="18"/>
              </w:rPr>
              <w:t>A broker-dealer's customer reserve calculation must include margin required and on deposit with the Options Clearing Corporation (OCC) for all option contracts written or purchased in customer accounts</w:t>
            </w:r>
          </w:p>
        </w:tc>
        <w:tc>
          <w:tcPr>
            <w:tcW w:w="3060" w:type="dxa"/>
          </w:tcPr>
          <w:p w14:paraId="17ADA892" w14:textId="77777777" w:rsidR="00651D6B" w:rsidRPr="006316C8" w:rsidRDefault="00651D6B" w:rsidP="00E26D05">
            <w:pPr>
              <w:rPr>
                <w:b/>
                <w:bCs/>
                <w:i/>
                <w:iCs/>
                <w:sz w:val="18"/>
                <w:szCs w:val="18"/>
              </w:rPr>
            </w:pPr>
            <w:r w:rsidRPr="006316C8">
              <w:rPr>
                <w:b/>
                <w:bCs/>
                <w:i/>
                <w:iCs/>
                <w:sz w:val="18"/>
                <w:szCs w:val="18"/>
              </w:rPr>
              <w:t>SEC Rule 15c3-3 (Customer Reserve Rule)</w:t>
            </w:r>
          </w:p>
          <w:p w14:paraId="7C28A67A" w14:textId="77777777" w:rsidR="00651D6B" w:rsidRPr="009744B0" w:rsidRDefault="00651D6B" w:rsidP="00E26D05">
            <w:pPr>
              <w:rPr>
                <w:i/>
                <w:iCs/>
                <w:sz w:val="18"/>
                <w:szCs w:val="18"/>
              </w:rPr>
            </w:pPr>
            <w:r w:rsidRPr="009744B0">
              <w:rPr>
                <w:i/>
                <w:iCs/>
                <w:sz w:val="18"/>
                <w:szCs w:val="18"/>
              </w:rPr>
              <w:t>15c3-3(Exhibit A – Item 13)</w:t>
            </w:r>
          </w:p>
          <w:p w14:paraId="3E87946D" w14:textId="77777777" w:rsidR="00651D6B" w:rsidRPr="009744B0" w:rsidRDefault="00651D6B" w:rsidP="00E26D05">
            <w:pPr>
              <w:rPr>
                <w:i/>
                <w:iCs/>
                <w:sz w:val="18"/>
                <w:szCs w:val="18"/>
              </w:rPr>
            </w:pPr>
            <w:r w:rsidRPr="009744B0">
              <w:rPr>
                <w:i/>
                <w:iCs/>
                <w:sz w:val="18"/>
                <w:szCs w:val="18"/>
              </w:rPr>
              <w:t>15c3-3(Exhibit A – Note E)</w:t>
            </w:r>
          </w:p>
          <w:p w14:paraId="7255E80B" w14:textId="77777777" w:rsidR="00651D6B" w:rsidRPr="009744B0" w:rsidRDefault="00651D6B" w:rsidP="00E26D05">
            <w:pPr>
              <w:rPr>
                <w:i/>
                <w:iCs/>
                <w:sz w:val="18"/>
                <w:szCs w:val="18"/>
              </w:rPr>
            </w:pPr>
            <w:r w:rsidRPr="009744B0">
              <w:rPr>
                <w:i/>
                <w:iCs/>
                <w:sz w:val="18"/>
                <w:szCs w:val="18"/>
              </w:rPr>
              <w:t>15c3-3(Exhibit A – Item 13)/01</w:t>
            </w:r>
          </w:p>
          <w:p w14:paraId="64B3F504" w14:textId="77777777" w:rsidR="00651D6B" w:rsidRPr="009744B0" w:rsidRDefault="00651D6B" w:rsidP="00E26D05">
            <w:pPr>
              <w:rPr>
                <w:i/>
                <w:iCs/>
                <w:sz w:val="18"/>
                <w:szCs w:val="18"/>
              </w:rPr>
            </w:pPr>
            <w:r w:rsidRPr="009744B0">
              <w:rPr>
                <w:i/>
                <w:iCs/>
                <w:sz w:val="18"/>
                <w:szCs w:val="18"/>
              </w:rPr>
              <w:t>15c3-3(Exhibit A – Item 13)/011</w:t>
            </w:r>
          </w:p>
          <w:p w14:paraId="66CB8094" w14:textId="77777777" w:rsidR="00651D6B" w:rsidRPr="006316C8" w:rsidRDefault="00651D6B" w:rsidP="00E26D05">
            <w:pPr>
              <w:rPr>
                <w:b/>
                <w:bCs/>
                <w:i/>
                <w:iCs/>
                <w:sz w:val="18"/>
                <w:szCs w:val="18"/>
              </w:rPr>
            </w:pPr>
          </w:p>
        </w:tc>
        <w:tc>
          <w:tcPr>
            <w:tcW w:w="2970" w:type="dxa"/>
          </w:tcPr>
          <w:p w14:paraId="28109DB6" w14:textId="77777777" w:rsidR="00651D6B" w:rsidRDefault="00651D6B" w:rsidP="00651D6B">
            <w:pPr>
              <w:pStyle w:val="ListParagraph"/>
              <w:numPr>
                <w:ilvl w:val="0"/>
                <w:numId w:val="1"/>
              </w:numPr>
              <w:spacing w:after="240" w:line="240" w:lineRule="auto"/>
              <w:rPr>
                <w:sz w:val="18"/>
                <w:szCs w:val="18"/>
              </w:rPr>
            </w:pPr>
            <w:r>
              <w:rPr>
                <w:sz w:val="18"/>
                <w:szCs w:val="18"/>
              </w:rPr>
              <w:t>Item 13 includes amounts on deposit at the OCC that do not meet regulatory requirements.</w:t>
            </w:r>
          </w:p>
          <w:p w14:paraId="207F10D5" w14:textId="77777777" w:rsidR="00651D6B" w:rsidRDefault="00651D6B" w:rsidP="00651D6B">
            <w:pPr>
              <w:pStyle w:val="ListParagraph"/>
              <w:numPr>
                <w:ilvl w:val="0"/>
                <w:numId w:val="1"/>
              </w:numPr>
              <w:spacing w:after="240" w:line="240" w:lineRule="auto"/>
              <w:rPr>
                <w:sz w:val="18"/>
                <w:szCs w:val="18"/>
              </w:rPr>
            </w:pPr>
            <w:r>
              <w:rPr>
                <w:sz w:val="18"/>
                <w:szCs w:val="18"/>
              </w:rPr>
              <w:t>Item 13 and Item 2 do not accurately and completely include customer cash and securities used to meet margin requirements at the OCC.</w:t>
            </w:r>
          </w:p>
          <w:p w14:paraId="45B57A52" w14:textId="77777777" w:rsidR="00651D6B" w:rsidRDefault="00651D6B" w:rsidP="00E26D05">
            <w:pPr>
              <w:pStyle w:val="ListParagraph"/>
              <w:spacing w:after="240" w:line="240" w:lineRule="auto"/>
              <w:ind w:left="360"/>
              <w:rPr>
                <w:sz w:val="18"/>
                <w:szCs w:val="18"/>
              </w:rPr>
            </w:pPr>
          </w:p>
        </w:tc>
      </w:tr>
      <w:tr w:rsidR="00651D6B" w14:paraId="051C8422" w14:textId="77777777" w:rsidTr="00E26D05">
        <w:tc>
          <w:tcPr>
            <w:tcW w:w="3325" w:type="dxa"/>
          </w:tcPr>
          <w:p w14:paraId="689A8F18" w14:textId="77777777" w:rsidR="00651D6B" w:rsidRDefault="00651D6B" w:rsidP="00E26D05">
            <w:pPr>
              <w:rPr>
                <w:b/>
                <w:bCs/>
                <w:sz w:val="20"/>
                <w:szCs w:val="20"/>
              </w:rPr>
            </w:pPr>
            <w:r>
              <w:rPr>
                <w:b/>
                <w:bCs/>
                <w:sz w:val="20"/>
                <w:szCs w:val="20"/>
              </w:rPr>
              <w:t>Reserve account establishment</w:t>
            </w:r>
          </w:p>
          <w:p w14:paraId="0C706CE7" w14:textId="77777777" w:rsidR="00651D6B" w:rsidRDefault="00651D6B" w:rsidP="00E26D05">
            <w:pPr>
              <w:rPr>
                <w:b/>
                <w:bCs/>
                <w:sz w:val="20"/>
                <w:szCs w:val="20"/>
              </w:rPr>
            </w:pPr>
            <w:r>
              <w:rPr>
                <w:sz w:val="18"/>
                <w:szCs w:val="18"/>
              </w:rPr>
              <w:t>A broker-dealer must establish accounts to hold cash and qualified securities that are appropriately titled and free of encumbrances</w:t>
            </w:r>
          </w:p>
        </w:tc>
        <w:tc>
          <w:tcPr>
            <w:tcW w:w="3060" w:type="dxa"/>
          </w:tcPr>
          <w:p w14:paraId="500EA3F2" w14:textId="77777777" w:rsidR="00651D6B" w:rsidRPr="006316C8" w:rsidRDefault="00651D6B" w:rsidP="00E26D05">
            <w:pPr>
              <w:rPr>
                <w:b/>
                <w:bCs/>
                <w:i/>
                <w:iCs/>
                <w:sz w:val="18"/>
                <w:szCs w:val="18"/>
              </w:rPr>
            </w:pPr>
            <w:r w:rsidRPr="006316C8">
              <w:rPr>
                <w:b/>
                <w:bCs/>
                <w:i/>
                <w:iCs/>
                <w:sz w:val="18"/>
                <w:szCs w:val="18"/>
              </w:rPr>
              <w:t>SEC Rule 15c3-3 (Customer Reserve Rule)</w:t>
            </w:r>
          </w:p>
          <w:p w14:paraId="5CB4666F" w14:textId="77777777" w:rsidR="00651D6B" w:rsidRDefault="00651D6B" w:rsidP="00E26D05">
            <w:pPr>
              <w:rPr>
                <w:i/>
                <w:iCs/>
                <w:sz w:val="18"/>
                <w:szCs w:val="18"/>
              </w:rPr>
            </w:pPr>
            <w:r w:rsidRPr="000D5BCF">
              <w:rPr>
                <w:i/>
                <w:iCs/>
                <w:sz w:val="18"/>
                <w:szCs w:val="18"/>
              </w:rPr>
              <w:t xml:space="preserve">15c3-3(f) Notification of banks </w:t>
            </w:r>
          </w:p>
          <w:p w14:paraId="0FCAA344" w14:textId="77777777" w:rsidR="00651D6B" w:rsidRPr="000D5BCF" w:rsidRDefault="00651D6B" w:rsidP="00E26D05">
            <w:pPr>
              <w:rPr>
                <w:i/>
                <w:iCs/>
                <w:sz w:val="18"/>
                <w:szCs w:val="18"/>
              </w:rPr>
            </w:pPr>
            <w:r w:rsidRPr="000D5BCF">
              <w:rPr>
                <w:i/>
                <w:iCs/>
                <w:sz w:val="18"/>
                <w:szCs w:val="18"/>
              </w:rPr>
              <w:t>15c3-3(e)(4) Special reserve bank account for the exclusive benefit of customers and PAB accounts</w:t>
            </w:r>
          </w:p>
        </w:tc>
        <w:tc>
          <w:tcPr>
            <w:tcW w:w="2970" w:type="dxa"/>
          </w:tcPr>
          <w:p w14:paraId="6BE6339A" w14:textId="77777777" w:rsidR="00651D6B" w:rsidRDefault="00651D6B" w:rsidP="00651D6B">
            <w:pPr>
              <w:pStyle w:val="ListParagraph"/>
              <w:numPr>
                <w:ilvl w:val="0"/>
                <w:numId w:val="1"/>
              </w:numPr>
              <w:spacing w:line="240" w:lineRule="auto"/>
              <w:rPr>
                <w:sz w:val="18"/>
                <w:szCs w:val="18"/>
              </w:rPr>
            </w:pPr>
            <w:r w:rsidRPr="003C4C0E">
              <w:rPr>
                <w:sz w:val="18"/>
                <w:szCs w:val="18"/>
              </w:rPr>
              <w:t xml:space="preserve">Accounts that hold </w:t>
            </w:r>
            <w:r w:rsidRPr="002D212E">
              <w:rPr>
                <w:sz w:val="18"/>
                <w:szCs w:val="18"/>
              </w:rPr>
              <w:t>cash and/or qualified securities</w:t>
            </w:r>
            <w:r w:rsidRPr="003C4C0E">
              <w:rPr>
                <w:sz w:val="18"/>
                <w:szCs w:val="18"/>
              </w:rPr>
              <w:t xml:space="preserve"> are not established in accordance with regulatory requirements to ensure that </w:t>
            </w:r>
          </w:p>
          <w:p w14:paraId="79569B38" w14:textId="77777777" w:rsidR="00651D6B" w:rsidRDefault="00651D6B" w:rsidP="00651D6B">
            <w:pPr>
              <w:pStyle w:val="ListParagraph"/>
              <w:numPr>
                <w:ilvl w:val="1"/>
                <w:numId w:val="1"/>
              </w:numPr>
              <w:spacing w:line="240" w:lineRule="auto"/>
              <w:ind w:left="700"/>
              <w:rPr>
                <w:sz w:val="18"/>
                <w:szCs w:val="18"/>
              </w:rPr>
            </w:pPr>
            <w:r>
              <w:rPr>
                <w:sz w:val="18"/>
                <w:szCs w:val="18"/>
              </w:rPr>
              <w:t>A</w:t>
            </w:r>
            <w:r w:rsidRPr="002D212E">
              <w:rPr>
                <w:sz w:val="18"/>
                <w:szCs w:val="18"/>
              </w:rPr>
              <w:t xml:space="preserve">ll cash and/or qualified securities deposited therein are being held by the bank for the exclusive benefit of the customers and account </w:t>
            </w:r>
            <w:r w:rsidRPr="002D212E">
              <w:rPr>
                <w:sz w:val="18"/>
                <w:szCs w:val="18"/>
              </w:rPr>
              <w:lastRenderedPageBreak/>
              <w:t>holders of the broker or dealer, an</w:t>
            </w:r>
            <w:r>
              <w:rPr>
                <w:sz w:val="18"/>
                <w:szCs w:val="18"/>
              </w:rPr>
              <w:t xml:space="preserve">d </w:t>
            </w:r>
          </w:p>
          <w:p w14:paraId="0A8DB25A" w14:textId="77777777" w:rsidR="00651D6B" w:rsidRDefault="00651D6B" w:rsidP="00651D6B">
            <w:pPr>
              <w:pStyle w:val="ListParagraph"/>
              <w:numPr>
                <w:ilvl w:val="1"/>
                <w:numId w:val="1"/>
              </w:numPr>
              <w:spacing w:line="240" w:lineRule="auto"/>
              <w:ind w:left="700"/>
              <w:rPr>
                <w:sz w:val="18"/>
                <w:szCs w:val="18"/>
              </w:rPr>
            </w:pPr>
            <w:r w:rsidRPr="000D5BCF">
              <w:rPr>
                <w:sz w:val="18"/>
                <w:szCs w:val="18"/>
              </w:rPr>
              <w:t xml:space="preserve">Are being kept separate from any other accounts maintained by the broker or dealer with the bank, and </w:t>
            </w:r>
          </w:p>
          <w:p w14:paraId="78FFD5AC" w14:textId="77777777" w:rsidR="00651D6B" w:rsidRDefault="00651D6B" w:rsidP="00651D6B">
            <w:pPr>
              <w:pStyle w:val="ListParagraph"/>
              <w:numPr>
                <w:ilvl w:val="1"/>
                <w:numId w:val="1"/>
              </w:numPr>
              <w:spacing w:line="240" w:lineRule="auto"/>
              <w:ind w:left="700"/>
              <w:rPr>
                <w:sz w:val="18"/>
                <w:szCs w:val="18"/>
              </w:rPr>
            </w:pPr>
            <w:r w:rsidRPr="000D5BCF">
              <w:rPr>
                <w:sz w:val="18"/>
                <w:szCs w:val="18"/>
              </w:rPr>
              <w:t>The broker or dealer has a written contract with the bank which provides that the cash and/or qualified securities will at no time be used directly or indirectly as security for a loan to the broker or dealer by the bank and will not be subject to any right, charge, security interest, lien, or claim of any kind in favor of the bank or any person claiming through the bank.</w:t>
            </w:r>
          </w:p>
          <w:p w14:paraId="09B5236B" w14:textId="77777777" w:rsidR="00651D6B" w:rsidRPr="000D5BCF" w:rsidRDefault="00651D6B" w:rsidP="00651D6B">
            <w:pPr>
              <w:pStyle w:val="ListParagraph"/>
              <w:numPr>
                <w:ilvl w:val="0"/>
                <w:numId w:val="1"/>
              </w:numPr>
              <w:spacing w:line="240" w:lineRule="auto"/>
              <w:rPr>
                <w:sz w:val="18"/>
                <w:szCs w:val="18"/>
              </w:rPr>
            </w:pPr>
            <w:r w:rsidRPr="000D5BCF">
              <w:rPr>
                <w:sz w:val="18"/>
                <w:szCs w:val="18"/>
              </w:rPr>
              <w:t>Separate special reserve accounts for customers and PAB are not established within regulatory requirements</w:t>
            </w:r>
          </w:p>
        </w:tc>
      </w:tr>
      <w:tr w:rsidR="00651D6B" w14:paraId="36E9E47C" w14:textId="77777777" w:rsidTr="00E26D05">
        <w:tc>
          <w:tcPr>
            <w:tcW w:w="3325" w:type="dxa"/>
          </w:tcPr>
          <w:p w14:paraId="3205D209" w14:textId="77777777" w:rsidR="00651D6B" w:rsidRDefault="00651D6B" w:rsidP="00E26D05">
            <w:pPr>
              <w:rPr>
                <w:b/>
                <w:bCs/>
                <w:sz w:val="20"/>
                <w:szCs w:val="20"/>
              </w:rPr>
            </w:pPr>
            <w:r>
              <w:rPr>
                <w:b/>
                <w:bCs/>
                <w:sz w:val="20"/>
                <w:szCs w:val="20"/>
              </w:rPr>
              <w:lastRenderedPageBreak/>
              <w:t>Qualified reserve account deposits</w:t>
            </w:r>
          </w:p>
          <w:p w14:paraId="24577A43" w14:textId="77777777" w:rsidR="00651D6B" w:rsidRDefault="00651D6B" w:rsidP="00E26D05">
            <w:pPr>
              <w:rPr>
                <w:b/>
                <w:bCs/>
                <w:sz w:val="20"/>
                <w:szCs w:val="20"/>
              </w:rPr>
            </w:pPr>
            <w:r>
              <w:rPr>
                <w:sz w:val="18"/>
                <w:szCs w:val="18"/>
              </w:rPr>
              <w:t xml:space="preserve">Cash and/or securities used to meet a broker-dealer's customer reserve deposit requirement are in accordance with regulatory requirements. </w:t>
            </w:r>
          </w:p>
        </w:tc>
        <w:tc>
          <w:tcPr>
            <w:tcW w:w="3060" w:type="dxa"/>
          </w:tcPr>
          <w:p w14:paraId="4AFA31C2" w14:textId="77777777" w:rsidR="00651D6B" w:rsidRPr="006316C8" w:rsidRDefault="00651D6B" w:rsidP="00E26D05">
            <w:pPr>
              <w:rPr>
                <w:b/>
                <w:bCs/>
                <w:i/>
                <w:iCs/>
                <w:sz w:val="18"/>
                <w:szCs w:val="18"/>
              </w:rPr>
            </w:pPr>
            <w:r w:rsidRPr="006316C8">
              <w:rPr>
                <w:b/>
                <w:bCs/>
                <w:i/>
                <w:iCs/>
                <w:sz w:val="18"/>
                <w:szCs w:val="18"/>
              </w:rPr>
              <w:t>SEC Rule 15c3-3 (Customer Reserve Rule)</w:t>
            </w:r>
          </w:p>
          <w:p w14:paraId="7B53BC02" w14:textId="77777777" w:rsidR="00651D6B" w:rsidRPr="006316C8" w:rsidRDefault="00651D6B" w:rsidP="00E26D05">
            <w:pPr>
              <w:rPr>
                <w:i/>
                <w:iCs/>
                <w:sz w:val="18"/>
                <w:szCs w:val="18"/>
              </w:rPr>
            </w:pPr>
            <w:r w:rsidRPr="006316C8">
              <w:rPr>
                <w:i/>
                <w:iCs/>
                <w:sz w:val="18"/>
                <w:szCs w:val="18"/>
              </w:rPr>
              <w:t>15c3-3</w:t>
            </w:r>
            <w:r>
              <w:rPr>
                <w:i/>
                <w:iCs/>
                <w:sz w:val="18"/>
                <w:szCs w:val="18"/>
              </w:rPr>
              <w:t xml:space="preserve"> (a) (6) Definitions – Qualified Security</w:t>
            </w:r>
          </w:p>
          <w:p w14:paraId="5660A571" w14:textId="77777777" w:rsidR="00651D6B" w:rsidRDefault="00651D6B" w:rsidP="00E26D05">
            <w:pPr>
              <w:rPr>
                <w:i/>
                <w:iCs/>
                <w:sz w:val="18"/>
                <w:szCs w:val="18"/>
              </w:rPr>
            </w:pPr>
            <w:r w:rsidRPr="006316C8">
              <w:rPr>
                <w:i/>
                <w:iCs/>
                <w:sz w:val="18"/>
                <w:szCs w:val="18"/>
              </w:rPr>
              <w:t>15c3-3</w:t>
            </w:r>
            <w:r>
              <w:rPr>
                <w:i/>
                <w:iCs/>
                <w:sz w:val="18"/>
                <w:szCs w:val="18"/>
              </w:rPr>
              <w:t xml:space="preserve"> </w:t>
            </w:r>
            <w:r w:rsidRPr="005B1006">
              <w:rPr>
                <w:i/>
                <w:iCs/>
                <w:sz w:val="18"/>
                <w:szCs w:val="18"/>
              </w:rPr>
              <w:t>15c3-3(e)(1) Special reserve bank account for the exclusive benefit of customers and PAB accounts</w:t>
            </w:r>
          </w:p>
          <w:p w14:paraId="54B7BEAF" w14:textId="77777777" w:rsidR="00651D6B" w:rsidRDefault="00651D6B" w:rsidP="00E26D05">
            <w:pPr>
              <w:rPr>
                <w:i/>
                <w:iCs/>
                <w:sz w:val="18"/>
                <w:szCs w:val="18"/>
              </w:rPr>
            </w:pPr>
            <w:r w:rsidRPr="005B1006">
              <w:rPr>
                <w:i/>
                <w:iCs/>
                <w:sz w:val="18"/>
                <w:szCs w:val="18"/>
              </w:rPr>
              <w:t>15c3-3(e)(5) Special reserve bank account for the exclusive benefit of customers and PAB accounts</w:t>
            </w:r>
          </w:p>
          <w:p w14:paraId="281B293A" w14:textId="77777777" w:rsidR="00651D6B" w:rsidRPr="006316C8" w:rsidRDefault="00651D6B" w:rsidP="00E26D05">
            <w:pPr>
              <w:rPr>
                <w:b/>
                <w:bCs/>
                <w:i/>
                <w:iCs/>
                <w:sz w:val="18"/>
                <w:szCs w:val="18"/>
              </w:rPr>
            </w:pPr>
          </w:p>
        </w:tc>
        <w:tc>
          <w:tcPr>
            <w:tcW w:w="2970" w:type="dxa"/>
          </w:tcPr>
          <w:p w14:paraId="35094DE5" w14:textId="77777777" w:rsidR="00651D6B" w:rsidRDefault="00651D6B" w:rsidP="00651D6B">
            <w:pPr>
              <w:pStyle w:val="ListParagraph"/>
              <w:numPr>
                <w:ilvl w:val="0"/>
                <w:numId w:val="1"/>
              </w:numPr>
              <w:spacing w:after="240" w:line="240" w:lineRule="auto"/>
              <w:rPr>
                <w:sz w:val="18"/>
                <w:szCs w:val="18"/>
              </w:rPr>
            </w:pPr>
            <w:r w:rsidRPr="0052401C">
              <w:rPr>
                <w:sz w:val="18"/>
                <w:szCs w:val="18"/>
              </w:rPr>
              <w:t xml:space="preserve">Cash used to meet deposit requirements </w:t>
            </w:r>
            <w:r>
              <w:rPr>
                <w:sz w:val="18"/>
                <w:szCs w:val="18"/>
              </w:rPr>
              <w:t>is</w:t>
            </w:r>
            <w:r w:rsidRPr="0052401C">
              <w:rPr>
                <w:sz w:val="18"/>
                <w:szCs w:val="18"/>
              </w:rPr>
              <w:t xml:space="preserve"> not deposited at banks that meet the regulatory requirements for a valid reserve deposit</w:t>
            </w:r>
            <w:r>
              <w:rPr>
                <w:sz w:val="18"/>
                <w:szCs w:val="18"/>
              </w:rPr>
              <w:t>.</w:t>
            </w:r>
          </w:p>
          <w:p w14:paraId="40FE0A08" w14:textId="77777777" w:rsidR="00651D6B" w:rsidRDefault="00651D6B" w:rsidP="00651D6B">
            <w:pPr>
              <w:pStyle w:val="ListParagraph"/>
              <w:numPr>
                <w:ilvl w:val="0"/>
                <w:numId w:val="1"/>
              </w:numPr>
              <w:spacing w:after="240" w:line="240" w:lineRule="auto"/>
              <w:rPr>
                <w:sz w:val="18"/>
                <w:szCs w:val="18"/>
              </w:rPr>
            </w:pPr>
            <w:r w:rsidRPr="0052401C">
              <w:rPr>
                <w:sz w:val="18"/>
                <w:szCs w:val="18"/>
              </w:rPr>
              <w:t>Certificates of Deposit (CD</w:t>
            </w:r>
            <w:r>
              <w:rPr>
                <w:sz w:val="18"/>
                <w:szCs w:val="18"/>
              </w:rPr>
              <w:t>s</w:t>
            </w:r>
            <w:r w:rsidRPr="0052401C">
              <w:rPr>
                <w:sz w:val="18"/>
                <w:szCs w:val="18"/>
              </w:rPr>
              <w:t>) used to meet reserve deposit requirements are not issued by banks that meet the regulatory requirements for a valid reserve deposit</w:t>
            </w:r>
            <w:r>
              <w:rPr>
                <w:sz w:val="18"/>
                <w:szCs w:val="18"/>
              </w:rPr>
              <w:t>.</w:t>
            </w:r>
          </w:p>
          <w:p w14:paraId="6CD3A574" w14:textId="77777777" w:rsidR="00651D6B" w:rsidRDefault="00651D6B" w:rsidP="00651D6B">
            <w:pPr>
              <w:pStyle w:val="ListParagraph"/>
              <w:numPr>
                <w:ilvl w:val="0"/>
                <w:numId w:val="1"/>
              </w:numPr>
              <w:spacing w:after="240" w:line="240" w:lineRule="auto"/>
              <w:rPr>
                <w:sz w:val="18"/>
                <w:szCs w:val="18"/>
              </w:rPr>
            </w:pPr>
            <w:r w:rsidRPr="00B6448C">
              <w:rPr>
                <w:sz w:val="18"/>
                <w:szCs w:val="18"/>
              </w:rPr>
              <w:t>Amounts of cash and CDs on deposit at and/or issued by a single bank are in excess of regulatory requirements of the bank's equity, as reported in the bank's most recent call report</w:t>
            </w:r>
            <w:r>
              <w:rPr>
                <w:sz w:val="18"/>
                <w:szCs w:val="18"/>
              </w:rPr>
              <w:t>.</w:t>
            </w:r>
          </w:p>
          <w:p w14:paraId="0E7F3719" w14:textId="77777777" w:rsidR="00651D6B" w:rsidRDefault="00651D6B" w:rsidP="00651D6B">
            <w:pPr>
              <w:pStyle w:val="ListParagraph"/>
              <w:numPr>
                <w:ilvl w:val="0"/>
                <w:numId w:val="1"/>
              </w:numPr>
              <w:spacing w:after="240" w:line="240" w:lineRule="auto"/>
              <w:rPr>
                <w:sz w:val="18"/>
                <w:szCs w:val="18"/>
              </w:rPr>
            </w:pPr>
            <w:r w:rsidRPr="00B6448C">
              <w:rPr>
                <w:sz w:val="18"/>
                <w:szCs w:val="18"/>
              </w:rPr>
              <w:t>Borrowed securities (resale agreements) used to meet deposit requirements are not collateralized by qualified securities within regulatory requirements</w:t>
            </w:r>
            <w:r>
              <w:rPr>
                <w:sz w:val="18"/>
                <w:szCs w:val="18"/>
              </w:rPr>
              <w:t>.</w:t>
            </w:r>
          </w:p>
          <w:p w14:paraId="4171798C" w14:textId="77777777" w:rsidR="00651D6B" w:rsidRDefault="00651D6B" w:rsidP="00651D6B">
            <w:pPr>
              <w:pStyle w:val="ListParagraph"/>
              <w:numPr>
                <w:ilvl w:val="0"/>
                <w:numId w:val="1"/>
              </w:numPr>
              <w:spacing w:after="240" w:line="240" w:lineRule="auto"/>
              <w:rPr>
                <w:sz w:val="18"/>
                <w:szCs w:val="18"/>
              </w:rPr>
            </w:pPr>
            <w:r w:rsidRPr="00B6448C">
              <w:rPr>
                <w:sz w:val="18"/>
                <w:szCs w:val="18"/>
              </w:rPr>
              <w:t>Resale agreements are not accurately collateralized and timely collection of additional collateral does not occur in compliance with regulatory requirements</w:t>
            </w:r>
            <w:r>
              <w:rPr>
                <w:sz w:val="18"/>
                <w:szCs w:val="18"/>
              </w:rPr>
              <w:t>.</w:t>
            </w:r>
          </w:p>
          <w:p w14:paraId="3950C3EE" w14:textId="77777777" w:rsidR="00651D6B" w:rsidRDefault="00651D6B" w:rsidP="00651D6B">
            <w:pPr>
              <w:pStyle w:val="ListParagraph"/>
              <w:numPr>
                <w:ilvl w:val="0"/>
                <w:numId w:val="1"/>
              </w:numPr>
              <w:spacing w:after="240" w:line="240" w:lineRule="auto"/>
              <w:rPr>
                <w:sz w:val="18"/>
                <w:szCs w:val="18"/>
              </w:rPr>
            </w:pPr>
            <w:r w:rsidRPr="00B6448C">
              <w:rPr>
                <w:sz w:val="18"/>
                <w:szCs w:val="18"/>
              </w:rPr>
              <w:t>Investments used to meet deposit requirements are not considered qualified in compliance with regulatory requirements</w:t>
            </w:r>
            <w:r>
              <w:rPr>
                <w:sz w:val="18"/>
                <w:szCs w:val="18"/>
              </w:rPr>
              <w:t>.</w:t>
            </w:r>
          </w:p>
          <w:p w14:paraId="6A7953A8" w14:textId="77777777" w:rsidR="00651D6B" w:rsidRDefault="00651D6B" w:rsidP="00651D6B">
            <w:pPr>
              <w:pStyle w:val="ListParagraph"/>
              <w:numPr>
                <w:ilvl w:val="0"/>
                <w:numId w:val="1"/>
              </w:numPr>
              <w:spacing w:after="240" w:line="240" w:lineRule="auto"/>
              <w:rPr>
                <w:sz w:val="18"/>
                <w:szCs w:val="18"/>
              </w:rPr>
            </w:pPr>
            <w:r w:rsidRPr="00B6448C">
              <w:rPr>
                <w:sz w:val="18"/>
                <w:szCs w:val="18"/>
              </w:rPr>
              <w:t>Investment</w:t>
            </w:r>
            <w:r>
              <w:rPr>
                <w:sz w:val="18"/>
                <w:szCs w:val="18"/>
              </w:rPr>
              <w:t>s</w:t>
            </w:r>
            <w:r w:rsidRPr="00B6448C">
              <w:rPr>
                <w:sz w:val="18"/>
                <w:szCs w:val="18"/>
              </w:rPr>
              <w:t xml:space="preserve"> are not accurately valued to support reserve requirement and additional </w:t>
            </w:r>
            <w:r w:rsidRPr="00B6448C">
              <w:rPr>
                <w:sz w:val="18"/>
                <w:szCs w:val="18"/>
              </w:rPr>
              <w:lastRenderedPageBreak/>
              <w:t>amounts are not timely deposited within regulatory requirements</w:t>
            </w:r>
            <w:r>
              <w:rPr>
                <w:sz w:val="18"/>
                <w:szCs w:val="18"/>
              </w:rPr>
              <w:t>.</w:t>
            </w:r>
          </w:p>
          <w:p w14:paraId="4B8B37D6" w14:textId="77777777" w:rsidR="00651D6B" w:rsidRDefault="00651D6B" w:rsidP="00651D6B">
            <w:pPr>
              <w:pStyle w:val="ListParagraph"/>
              <w:numPr>
                <w:ilvl w:val="0"/>
                <w:numId w:val="1"/>
              </w:numPr>
              <w:spacing w:after="240" w:line="240" w:lineRule="auto"/>
              <w:rPr>
                <w:sz w:val="18"/>
                <w:szCs w:val="18"/>
              </w:rPr>
            </w:pPr>
            <w:r w:rsidRPr="00B6448C">
              <w:rPr>
                <w:sz w:val="18"/>
                <w:szCs w:val="18"/>
              </w:rPr>
              <w:t>Inadequate reserve deposit excess (cushion) is not maintained to ensure deposit deficits are avoided</w:t>
            </w:r>
            <w:r>
              <w:rPr>
                <w:sz w:val="18"/>
                <w:szCs w:val="18"/>
              </w:rPr>
              <w:t>.</w:t>
            </w:r>
          </w:p>
        </w:tc>
      </w:tr>
      <w:tr w:rsidR="00651D6B" w14:paraId="55B81E21" w14:textId="77777777" w:rsidTr="00E26D05">
        <w:tc>
          <w:tcPr>
            <w:tcW w:w="3325" w:type="dxa"/>
          </w:tcPr>
          <w:p w14:paraId="45EF376C" w14:textId="77777777" w:rsidR="00651D6B" w:rsidRDefault="00651D6B" w:rsidP="00E26D05">
            <w:pPr>
              <w:rPr>
                <w:b/>
                <w:bCs/>
                <w:sz w:val="20"/>
                <w:szCs w:val="20"/>
              </w:rPr>
            </w:pPr>
            <w:r>
              <w:rPr>
                <w:b/>
                <w:bCs/>
                <w:sz w:val="20"/>
                <w:szCs w:val="20"/>
              </w:rPr>
              <w:lastRenderedPageBreak/>
              <w:t>Reserve account movements</w:t>
            </w:r>
          </w:p>
          <w:p w14:paraId="052E03ED" w14:textId="77777777" w:rsidR="00651D6B" w:rsidRDefault="00651D6B" w:rsidP="00E26D05">
            <w:pPr>
              <w:rPr>
                <w:b/>
                <w:bCs/>
                <w:sz w:val="20"/>
                <w:szCs w:val="20"/>
              </w:rPr>
            </w:pPr>
            <w:r>
              <w:rPr>
                <w:sz w:val="18"/>
                <w:szCs w:val="18"/>
              </w:rPr>
              <w:t xml:space="preserve">A broker-dealer's deposits and withdrawals from its customer reserve accounts are done within prescribed timelines and are supported by a valid customer reserve calculation </w:t>
            </w:r>
          </w:p>
        </w:tc>
        <w:tc>
          <w:tcPr>
            <w:tcW w:w="3060" w:type="dxa"/>
          </w:tcPr>
          <w:p w14:paraId="51595ED5" w14:textId="77777777" w:rsidR="00651D6B" w:rsidRPr="006316C8" w:rsidRDefault="00651D6B" w:rsidP="00E26D05">
            <w:pPr>
              <w:rPr>
                <w:b/>
                <w:bCs/>
                <w:i/>
                <w:iCs/>
                <w:sz w:val="18"/>
                <w:szCs w:val="18"/>
              </w:rPr>
            </w:pPr>
            <w:r w:rsidRPr="006316C8">
              <w:rPr>
                <w:b/>
                <w:bCs/>
                <w:i/>
                <w:iCs/>
                <w:sz w:val="18"/>
                <w:szCs w:val="18"/>
              </w:rPr>
              <w:t>SEC Rule 15c3-3 (Customer Reserve Rule)</w:t>
            </w:r>
          </w:p>
          <w:p w14:paraId="6C97F302" w14:textId="77777777" w:rsidR="00651D6B" w:rsidRDefault="00651D6B" w:rsidP="00E26D05">
            <w:pPr>
              <w:rPr>
                <w:i/>
                <w:iCs/>
                <w:sz w:val="18"/>
                <w:szCs w:val="18"/>
              </w:rPr>
            </w:pPr>
            <w:r w:rsidRPr="00123BC5">
              <w:rPr>
                <w:i/>
                <w:iCs/>
                <w:sz w:val="18"/>
                <w:szCs w:val="18"/>
              </w:rPr>
              <w:t>15c3-3(g) Withdrawals from the reserve bank accounts</w:t>
            </w:r>
          </w:p>
          <w:p w14:paraId="1C528791" w14:textId="77777777" w:rsidR="00651D6B" w:rsidRPr="00123BC5" w:rsidRDefault="00651D6B" w:rsidP="00E26D05">
            <w:pPr>
              <w:rPr>
                <w:i/>
                <w:iCs/>
                <w:sz w:val="18"/>
                <w:szCs w:val="18"/>
              </w:rPr>
            </w:pPr>
            <w:r w:rsidRPr="00123BC5">
              <w:rPr>
                <w:i/>
                <w:iCs/>
                <w:sz w:val="18"/>
                <w:szCs w:val="18"/>
              </w:rPr>
              <w:t>15c3-3(e)(1) Special reserve bank account for the exclusive benefit of customers and PAB accounts</w:t>
            </w:r>
          </w:p>
          <w:p w14:paraId="252798A0" w14:textId="77777777" w:rsidR="00651D6B" w:rsidRDefault="00651D6B" w:rsidP="00E26D05">
            <w:pPr>
              <w:rPr>
                <w:i/>
                <w:iCs/>
                <w:sz w:val="18"/>
                <w:szCs w:val="18"/>
              </w:rPr>
            </w:pPr>
            <w:r w:rsidRPr="00123BC5">
              <w:rPr>
                <w:i/>
                <w:iCs/>
                <w:sz w:val="18"/>
                <w:szCs w:val="18"/>
              </w:rPr>
              <w:t>15c3-3(e)(3) Reserve bank account computations</w:t>
            </w:r>
          </w:p>
          <w:p w14:paraId="7B16E885" w14:textId="77777777" w:rsidR="00651D6B" w:rsidRPr="00123BC5" w:rsidRDefault="00651D6B" w:rsidP="00E26D05">
            <w:pPr>
              <w:rPr>
                <w:i/>
                <w:iCs/>
                <w:sz w:val="18"/>
                <w:szCs w:val="18"/>
              </w:rPr>
            </w:pPr>
            <w:r w:rsidRPr="00123BC5">
              <w:rPr>
                <w:i/>
                <w:iCs/>
                <w:sz w:val="18"/>
                <w:szCs w:val="18"/>
              </w:rPr>
              <w:t>15c3-3(</w:t>
            </w:r>
            <w:r>
              <w:rPr>
                <w:i/>
                <w:iCs/>
                <w:sz w:val="18"/>
                <w:szCs w:val="18"/>
              </w:rPr>
              <w:t>i</w:t>
            </w:r>
            <w:r w:rsidRPr="00123BC5">
              <w:rPr>
                <w:i/>
                <w:iCs/>
                <w:sz w:val="18"/>
                <w:szCs w:val="18"/>
              </w:rPr>
              <w:t xml:space="preserve">) </w:t>
            </w:r>
            <w:r>
              <w:rPr>
                <w:i/>
                <w:iCs/>
                <w:sz w:val="18"/>
                <w:szCs w:val="18"/>
              </w:rPr>
              <w:t>Notification in the event of failure to make a required deposit</w:t>
            </w:r>
          </w:p>
        </w:tc>
        <w:tc>
          <w:tcPr>
            <w:tcW w:w="2970" w:type="dxa"/>
          </w:tcPr>
          <w:p w14:paraId="38E33193" w14:textId="77777777" w:rsidR="00651D6B" w:rsidRDefault="00651D6B" w:rsidP="00651D6B">
            <w:pPr>
              <w:pStyle w:val="ListParagraph"/>
              <w:numPr>
                <w:ilvl w:val="0"/>
                <w:numId w:val="1"/>
              </w:numPr>
              <w:spacing w:after="240" w:line="240" w:lineRule="auto"/>
              <w:rPr>
                <w:sz w:val="18"/>
                <w:szCs w:val="18"/>
              </w:rPr>
            </w:pPr>
            <w:r w:rsidRPr="00190CAF">
              <w:rPr>
                <w:sz w:val="18"/>
                <w:szCs w:val="18"/>
              </w:rPr>
              <w:t xml:space="preserve">Reserve withdrawals are made without </w:t>
            </w:r>
            <w:r w:rsidRPr="00FF3798">
              <w:rPr>
                <w:sz w:val="18"/>
                <w:szCs w:val="18"/>
              </w:rPr>
              <w:t xml:space="preserve">a record of the computation on the basis of which </w:t>
            </w:r>
            <w:r>
              <w:rPr>
                <w:sz w:val="18"/>
                <w:szCs w:val="18"/>
              </w:rPr>
              <w:t>the broker-dealer</w:t>
            </w:r>
            <w:r w:rsidRPr="00FF3798">
              <w:rPr>
                <w:sz w:val="18"/>
                <w:szCs w:val="18"/>
              </w:rPr>
              <w:t xml:space="preserve"> makes such withdrawal</w:t>
            </w:r>
            <w:r>
              <w:rPr>
                <w:sz w:val="18"/>
                <w:szCs w:val="18"/>
              </w:rPr>
              <w:t>.</w:t>
            </w:r>
          </w:p>
          <w:p w14:paraId="7EF1A698" w14:textId="77777777" w:rsidR="00651D6B" w:rsidRDefault="00651D6B" w:rsidP="00651D6B">
            <w:pPr>
              <w:pStyle w:val="ListParagraph"/>
              <w:numPr>
                <w:ilvl w:val="0"/>
                <w:numId w:val="1"/>
              </w:numPr>
              <w:spacing w:after="240" w:line="240" w:lineRule="auto"/>
              <w:rPr>
                <w:sz w:val="18"/>
                <w:szCs w:val="18"/>
              </w:rPr>
            </w:pPr>
            <w:r w:rsidRPr="00190CAF">
              <w:rPr>
                <w:sz w:val="18"/>
                <w:szCs w:val="18"/>
              </w:rPr>
              <w:t>Reserve movements are not executed and completed by 10am on the second business day after the date of the reserve calculation</w:t>
            </w:r>
            <w:r>
              <w:rPr>
                <w:sz w:val="18"/>
                <w:szCs w:val="18"/>
              </w:rPr>
              <w:t>.</w:t>
            </w:r>
          </w:p>
          <w:p w14:paraId="17911F64" w14:textId="77777777" w:rsidR="00651D6B" w:rsidRDefault="00651D6B" w:rsidP="00651D6B">
            <w:pPr>
              <w:pStyle w:val="ListParagraph"/>
              <w:numPr>
                <w:ilvl w:val="0"/>
                <w:numId w:val="1"/>
              </w:numPr>
              <w:spacing w:after="240" w:line="240" w:lineRule="auto"/>
              <w:rPr>
                <w:sz w:val="18"/>
                <w:szCs w:val="18"/>
              </w:rPr>
            </w:pPr>
            <w:r w:rsidRPr="00FF3798">
              <w:rPr>
                <w:sz w:val="18"/>
                <w:szCs w:val="18"/>
              </w:rPr>
              <w:t xml:space="preserve">Investments and collateral substituted in reserve accounts are withdrawn </w:t>
            </w:r>
            <w:r>
              <w:rPr>
                <w:sz w:val="18"/>
                <w:szCs w:val="18"/>
              </w:rPr>
              <w:t xml:space="preserve">before and/or </w:t>
            </w:r>
            <w:r w:rsidRPr="00FF3798">
              <w:rPr>
                <w:sz w:val="18"/>
                <w:szCs w:val="18"/>
              </w:rPr>
              <w:t>at a value greater than amounts deposited</w:t>
            </w:r>
            <w:r>
              <w:rPr>
                <w:sz w:val="18"/>
                <w:szCs w:val="18"/>
              </w:rPr>
              <w:t>.</w:t>
            </w:r>
          </w:p>
          <w:p w14:paraId="356DF0B5" w14:textId="77777777" w:rsidR="00651D6B" w:rsidRDefault="00651D6B" w:rsidP="00651D6B">
            <w:pPr>
              <w:pStyle w:val="ListParagraph"/>
              <w:numPr>
                <w:ilvl w:val="0"/>
                <w:numId w:val="1"/>
              </w:numPr>
              <w:spacing w:after="240" w:line="240" w:lineRule="auto"/>
              <w:rPr>
                <w:sz w:val="18"/>
                <w:szCs w:val="18"/>
              </w:rPr>
            </w:pPr>
            <w:r>
              <w:rPr>
                <w:sz w:val="18"/>
                <w:szCs w:val="18"/>
              </w:rPr>
              <w:t>Broker-dealer does not make a required deposit and does not notify the SEC and DEA promptly.</w:t>
            </w:r>
          </w:p>
        </w:tc>
      </w:tr>
    </w:tbl>
    <w:p w14:paraId="1368B1AE" w14:textId="77777777" w:rsidR="00651D6B" w:rsidRDefault="00651D6B" w:rsidP="00651D6B">
      <w:pPr>
        <w:spacing w:line="240" w:lineRule="auto"/>
      </w:pPr>
      <w:r>
        <w:br w:type="page"/>
      </w:r>
    </w:p>
    <w:p w14:paraId="327523F3" w14:textId="77777777" w:rsidR="00651D6B" w:rsidRDefault="00651D6B" w:rsidP="00651D6B">
      <w:pPr>
        <w:spacing w:line="240" w:lineRule="auto"/>
      </w:pPr>
      <w:bookmarkStart w:id="0" w:name="_Hlk77249625"/>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060"/>
        <w:gridCol w:w="2970"/>
      </w:tblGrid>
      <w:tr w:rsidR="00651D6B" w14:paraId="592BC088" w14:textId="77777777" w:rsidTr="00E26D05">
        <w:tc>
          <w:tcPr>
            <w:tcW w:w="3325" w:type="dxa"/>
            <w:tcBorders>
              <w:top w:val="single" w:sz="4" w:space="0" w:color="000000"/>
              <w:left w:val="single" w:sz="4" w:space="0" w:color="000000"/>
              <w:bottom w:val="single" w:sz="4" w:space="0" w:color="000000"/>
              <w:right w:val="single" w:sz="4" w:space="0" w:color="000000"/>
            </w:tcBorders>
          </w:tcPr>
          <w:p w14:paraId="52F0DC8B" w14:textId="77777777" w:rsidR="00651D6B" w:rsidRDefault="00651D6B" w:rsidP="00E26D05">
            <w:pPr>
              <w:spacing w:line="240" w:lineRule="auto"/>
              <w:rPr>
                <w:b/>
              </w:rPr>
            </w:pPr>
            <w:bookmarkStart w:id="1" w:name="_Hlk77249682"/>
            <w:r>
              <w:rPr>
                <w:b/>
              </w:rPr>
              <w:t>ICOC Rule Requirement</w:t>
            </w:r>
          </w:p>
        </w:tc>
        <w:tc>
          <w:tcPr>
            <w:tcW w:w="3060" w:type="dxa"/>
            <w:tcBorders>
              <w:top w:val="single" w:sz="4" w:space="0" w:color="000000"/>
              <w:left w:val="single" w:sz="4" w:space="0" w:color="000000"/>
              <w:bottom w:val="single" w:sz="4" w:space="0" w:color="000000"/>
              <w:right w:val="single" w:sz="4" w:space="0" w:color="000000"/>
            </w:tcBorders>
          </w:tcPr>
          <w:p w14:paraId="7D49B455" w14:textId="77777777" w:rsidR="00651D6B" w:rsidRDefault="00651D6B" w:rsidP="00E26D05">
            <w:pPr>
              <w:spacing w:line="240" w:lineRule="auto"/>
              <w:rPr>
                <w:b/>
              </w:rPr>
            </w:pPr>
            <w:r>
              <w:rPr>
                <w:b/>
              </w:rPr>
              <w:t>Rule References</w:t>
            </w:r>
          </w:p>
        </w:tc>
        <w:tc>
          <w:tcPr>
            <w:tcW w:w="2970" w:type="dxa"/>
            <w:tcBorders>
              <w:top w:val="single" w:sz="4" w:space="0" w:color="000000"/>
              <w:left w:val="single" w:sz="4" w:space="0" w:color="000000"/>
              <w:bottom w:val="single" w:sz="4" w:space="0" w:color="000000"/>
              <w:right w:val="single" w:sz="4" w:space="0" w:color="000000"/>
            </w:tcBorders>
          </w:tcPr>
          <w:p w14:paraId="0F981A0B" w14:textId="77777777" w:rsidR="00651D6B" w:rsidRDefault="00651D6B" w:rsidP="00E26D05">
            <w:pPr>
              <w:spacing w:line="240" w:lineRule="auto"/>
              <w:rPr>
                <w:b/>
              </w:rPr>
            </w:pPr>
            <w:r>
              <w:rPr>
                <w:b/>
              </w:rPr>
              <w:t>Illustrative compliance risk point</w:t>
            </w:r>
          </w:p>
        </w:tc>
      </w:tr>
      <w:bookmarkEnd w:id="0"/>
      <w:bookmarkEnd w:id="1"/>
      <w:tr w:rsidR="00651D6B" w14:paraId="798E5A61" w14:textId="77777777" w:rsidTr="00E26D05">
        <w:tc>
          <w:tcPr>
            <w:tcW w:w="3325" w:type="dxa"/>
          </w:tcPr>
          <w:p w14:paraId="7E860582" w14:textId="77777777" w:rsidR="00651D6B" w:rsidRDefault="00651D6B" w:rsidP="00E26D05">
            <w:pPr>
              <w:spacing w:line="240" w:lineRule="auto"/>
              <w:rPr>
                <w:b/>
                <w:sz w:val="20"/>
                <w:szCs w:val="20"/>
              </w:rPr>
            </w:pPr>
            <w:r>
              <w:rPr>
                <w:b/>
                <w:sz w:val="20"/>
                <w:szCs w:val="20"/>
              </w:rPr>
              <w:t>Quarterly Security Counts – Scope of Count</w:t>
            </w:r>
          </w:p>
          <w:p w14:paraId="768E3FD7" w14:textId="77777777" w:rsidR="00651D6B" w:rsidRDefault="00651D6B" w:rsidP="00E26D05">
            <w:pPr>
              <w:spacing w:line="240" w:lineRule="auto"/>
              <w:rPr>
                <w:sz w:val="20"/>
                <w:szCs w:val="20"/>
              </w:rPr>
            </w:pPr>
            <w:r>
              <w:rPr>
                <w:sz w:val="20"/>
                <w:szCs w:val="20"/>
              </w:rPr>
              <w:t>At least once in each calendar quarter-year, any member, broker, or dealer who is subject to 17a-13 must:</w:t>
            </w:r>
          </w:p>
          <w:p w14:paraId="4A33FF6F" w14:textId="77777777" w:rsidR="00651D6B" w:rsidRDefault="00651D6B" w:rsidP="00651D6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Physically examine and count all securities held;</w:t>
            </w:r>
          </w:p>
          <w:p w14:paraId="47DB278E" w14:textId="77777777" w:rsidR="00651D6B" w:rsidRDefault="00651D6B" w:rsidP="00651D6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Account for all securities subject to its control or direction, but not in its physical possession;</w:t>
            </w:r>
          </w:p>
          <w:p w14:paraId="3D895172" w14:textId="77777777" w:rsidR="00651D6B" w:rsidRDefault="00651D6B" w:rsidP="00651D6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Verify all securities subject to its control or direction but not in its physical possession where securities have been in said status for longer than thirty (30) days;</w:t>
            </w:r>
          </w:p>
          <w:p w14:paraId="58065A9B" w14:textId="77777777" w:rsidR="00651D6B" w:rsidRDefault="00651D6B" w:rsidP="00651D6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Compare the results of the count and verification with its securities records; and</w:t>
            </w:r>
          </w:p>
          <w:p w14:paraId="06CEBE22" w14:textId="77777777" w:rsidR="00651D6B" w:rsidRDefault="00651D6B" w:rsidP="00651D6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Record all unresolved difference accounts no later than 7 business days after each required quarterly security count.</w:t>
            </w:r>
          </w:p>
          <w:p w14:paraId="4460DF50" w14:textId="77777777" w:rsidR="00651D6B" w:rsidRDefault="00651D6B" w:rsidP="00E26D05">
            <w:pPr>
              <w:pBdr>
                <w:top w:val="nil"/>
                <w:left w:val="nil"/>
                <w:bottom w:val="nil"/>
                <w:right w:val="nil"/>
                <w:between w:val="nil"/>
              </w:pBdr>
              <w:spacing w:line="240" w:lineRule="auto"/>
              <w:ind w:left="720"/>
              <w:rPr>
                <w:color w:val="000000"/>
                <w:sz w:val="20"/>
                <w:szCs w:val="20"/>
              </w:rPr>
            </w:pPr>
          </w:p>
        </w:tc>
        <w:tc>
          <w:tcPr>
            <w:tcW w:w="3060" w:type="dxa"/>
          </w:tcPr>
          <w:p w14:paraId="5363EC68" w14:textId="77777777" w:rsidR="00651D6B" w:rsidRDefault="00651D6B" w:rsidP="00E26D05">
            <w:pPr>
              <w:pBdr>
                <w:top w:val="nil"/>
                <w:left w:val="nil"/>
                <w:bottom w:val="nil"/>
                <w:right w:val="nil"/>
                <w:between w:val="nil"/>
              </w:pBdr>
              <w:spacing w:line="240" w:lineRule="auto"/>
              <w:rPr>
                <w:color w:val="000000"/>
                <w:sz w:val="20"/>
                <w:szCs w:val="20"/>
              </w:rPr>
            </w:pPr>
            <w:r>
              <w:rPr>
                <w:b/>
                <w:i/>
                <w:color w:val="000000"/>
                <w:sz w:val="20"/>
                <w:szCs w:val="20"/>
              </w:rPr>
              <w:t xml:space="preserve">17a-13 (b) </w:t>
            </w:r>
            <w:r>
              <w:rPr>
                <w:b/>
                <w:color w:val="000000"/>
                <w:sz w:val="20"/>
                <w:szCs w:val="20"/>
              </w:rPr>
              <w:t>– Scope of Count</w:t>
            </w:r>
          </w:p>
          <w:p w14:paraId="3B7144A6" w14:textId="77777777" w:rsidR="00651D6B" w:rsidRDefault="00651D6B" w:rsidP="00E26D05">
            <w:pPr>
              <w:pBdr>
                <w:top w:val="nil"/>
                <w:left w:val="nil"/>
                <w:bottom w:val="nil"/>
                <w:right w:val="nil"/>
                <w:between w:val="nil"/>
              </w:pBdr>
              <w:spacing w:line="240" w:lineRule="auto"/>
              <w:rPr>
                <w:color w:val="000000"/>
                <w:sz w:val="20"/>
                <w:szCs w:val="20"/>
              </w:rPr>
            </w:pPr>
            <w:r>
              <w:rPr>
                <w:i/>
                <w:color w:val="000000"/>
                <w:sz w:val="20"/>
                <w:szCs w:val="20"/>
              </w:rPr>
              <w:t>17a-13(b)(1)</w:t>
            </w:r>
            <w:r>
              <w:rPr>
                <w:color w:val="000000"/>
                <w:sz w:val="20"/>
                <w:szCs w:val="20"/>
              </w:rPr>
              <w:t xml:space="preserve"> – Physical Securities</w:t>
            </w:r>
          </w:p>
          <w:p w14:paraId="0363593E" w14:textId="77777777" w:rsidR="00651D6B" w:rsidRDefault="00651D6B" w:rsidP="00E26D05">
            <w:pPr>
              <w:pBdr>
                <w:top w:val="nil"/>
                <w:left w:val="nil"/>
                <w:bottom w:val="nil"/>
                <w:right w:val="nil"/>
                <w:between w:val="nil"/>
              </w:pBdr>
              <w:spacing w:line="240" w:lineRule="auto"/>
              <w:rPr>
                <w:color w:val="000000"/>
                <w:sz w:val="20"/>
                <w:szCs w:val="20"/>
              </w:rPr>
            </w:pPr>
            <w:r>
              <w:rPr>
                <w:i/>
                <w:color w:val="000000"/>
                <w:sz w:val="20"/>
                <w:szCs w:val="20"/>
              </w:rPr>
              <w:t>17a-13(b)(2)</w:t>
            </w:r>
            <w:r>
              <w:rPr>
                <w:color w:val="000000"/>
                <w:sz w:val="20"/>
                <w:szCs w:val="20"/>
              </w:rPr>
              <w:t xml:space="preserve"> – Securities subject to broker-dealers control</w:t>
            </w:r>
          </w:p>
          <w:p w14:paraId="15635733" w14:textId="77777777" w:rsidR="00651D6B" w:rsidRDefault="00651D6B" w:rsidP="00E26D05">
            <w:pPr>
              <w:pBdr>
                <w:top w:val="nil"/>
                <w:left w:val="nil"/>
                <w:bottom w:val="nil"/>
                <w:right w:val="nil"/>
                <w:between w:val="nil"/>
              </w:pBdr>
              <w:spacing w:line="240" w:lineRule="auto"/>
              <w:rPr>
                <w:color w:val="000000"/>
                <w:sz w:val="20"/>
                <w:szCs w:val="20"/>
              </w:rPr>
            </w:pPr>
            <w:r>
              <w:rPr>
                <w:i/>
                <w:color w:val="000000"/>
                <w:sz w:val="20"/>
                <w:szCs w:val="20"/>
              </w:rPr>
              <w:t>17a-13(b)(3)</w:t>
            </w:r>
            <w:r>
              <w:rPr>
                <w:color w:val="000000"/>
                <w:sz w:val="20"/>
                <w:szCs w:val="20"/>
              </w:rPr>
              <w:t xml:space="preserve"> – Aged securities subject to broker-dealers control</w:t>
            </w:r>
          </w:p>
          <w:p w14:paraId="1F14F16F" w14:textId="77777777" w:rsidR="00651D6B" w:rsidRDefault="00651D6B" w:rsidP="00E26D05">
            <w:pPr>
              <w:pBdr>
                <w:top w:val="nil"/>
                <w:left w:val="nil"/>
                <w:bottom w:val="nil"/>
                <w:right w:val="nil"/>
                <w:between w:val="nil"/>
              </w:pBdr>
              <w:spacing w:line="240" w:lineRule="auto"/>
              <w:rPr>
                <w:color w:val="000000"/>
                <w:sz w:val="20"/>
                <w:szCs w:val="20"/>
              </w:rPr>
            </w:pPr>
            <w:r>
              <w:rPr>
                <w:i/>
                <w:color w:val="000000"/>
                <w:sz w:val="20"/>
                <w:szCs w:val="20"/>
              </w:rPr>
              <w:t>17a-13(b)(4)</w:t>
            </w:r>
            <w:r>
              <w:rPr>
                <w:color w:val="000000"/>
                <w:sz w:val="20"/>
                <w:szCs w:val="20"/>
              </w:rPr>
              <w:t xml:space="preserve"> – Comparison to securities record</w:t>
            </w:r>
          </w:p>
          <w:p w14:paraId="017EE1C1" w14:textId="77777777" w:rsidR="00651D6B" w:rsidRDefault="00651D6B" w:rsidP="00E26D05">
            <w:pPr>
              <w:pBdr>
                <w:top w:val="nil"/>
                <w:left w:val="nil"/>
                <w:bottom w:val="nil"/>
                <w:right w:val="nil"/>
                <w:between w:val="nil"/>
              </w:pBdr>
              <w:spacing w:line="240" w:lineRule="auto"/>
              <w:rPr>
                <w:b/>
                <w:i/>
                <w:color w:val="000000"/>
                <w:sz w:val="20"/>
                <w:szCs w:val="20"/>
              </w:rPr>
            </w:pPr>
            <w:r>
              <w:rPr>
                <w:i/>
                <w:color w:val="000000"/>
                <w:sz w:val="20"/>
                <w:szCs w:val="20"/>
              </w:rPr>
              <w:t>17a-13(b)(5)</w:t>
            </w:r>
            <w:r>
              <w:rPr>
                <w:color w:val="000000"/>
                <w:sz w:val="20"/>
                <w:szCs w:val="20"/>
              </w:rPr>
              <w:t xml:space="preserve"> – Recording security count differences</w:t>
            </w:r>
            <w:r>
              <w:rPr>
                <w:b/>
                <w:i/>
                <w:color w:val="000000"/>
                <w:sz w:val="20"/>
                <w:szCs w:val="20"/>
              </w:rPr>
              <w:t xml:space="preserve"> </w:t>
            </w:r>
          </w:p>
        </w:tc>
        <w:tc>
          <w:tcPr>
            <w:tcW w:w="2970" w:type="dxa"/>
          </w:tcPr>
          <w:p w14:paraId="7BA765F4" w14:textId="77777777" w:rsidR="00651D6B" w:rsidRDefault="00651D6B" w:rsidP="00651D6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 required quarterly security count is not performed in the appropriate time period.</w:t>
            </w:r>
          </w:p>
          <w:p w14:paraId="5FFF2E5C" w14:textId="77777777" w:rsidR="00651D6B" w:rsidRDefault="00651D6B" w:rsidP="00651D6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The population of security locations subject to the broker-dealer’s possession or control is incomplete.</w:t>
            </w:r>
          </w:p>
          <w:p w14:paraId="5BA27A61" w14:textId="77777777" w:rsidR="00651D6B" w:rsidRDefault="00651D6B" w:rsidP="00651D6B">
            <w:pPr>
              <w:numPr>
                <w:ilvl w:val="0"/>
                <w:numId w:val="3"/>
              </w:numPr>
              <w:pBdr>
                <w:top w:val="nil"/>
                <w:left w:val="nil"/>
                <w:bottom w:val="nil"/>
                <w:right w:val="nil"/>
                <w:between w:val="nil"/>
              </w:pBdr>
              <w:spacing w:after="0" w:line="240" w:lineRule="auto"/>
              <w:rPr>
                <w:color w:val="000000"/>
                <w:sz w:val="20"/>
                <w:szCs w:val="20"/>
              </w:rPr>
            </w:pPr>
            <w:bookmarkStart w:id="2" w:name="_gjdgxs" w:colFirst="0" w:colLast="0"/>
            <w:bookmarkEnd w:id="2"/>
            <w:r>
              <w:rPr>
                <w:color w:val="000000"/>
                <w:sz w:val="20"/>
                <w:szCs w:val="20"/>
              </w:rPr>
              <w:t>Security positions are not reconciled completely and accurately with custodians and depositories.</w:t>
            </w:r>
          </w:p>
          <w:p w14:paraId="033DB7DB" w14:textId="77777777" w:rsidR="00651D6B" w:rsidRDefault="00651D6B" w:rsidP="00651D6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Aged securities subject to the broker-dealer’s control or direction are not appropriately identified and verified.</w:t>
            </w:r>
          </w:p>
          <w:p w14:paraId="71C2ED26" w14:textId="77777777" w:rsidR="00651D6B" w:rsidRDefault="00651D6B" w:rsidP="00651D6B">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Security records are not complete and inaccurate.</w:t>
            </w:r>
          </w:p>
          <w:p w14:paraId="5E10CB88" w14:textId="77777777" w:rsidR="00651D6B" w:rsidRDefault="00651D6B" w:rsidP="00651D6B">
            <w:pPr>
              <w:numPr>
                <w:ilvl w:val="0"/>
                <w:numId w:val="3"/>
              </w:numPr>
              <w:pBdr>
                <w:top w:val="nil"/>
                <w:left w:val="nil"/>
                <w:bottom w:val="nil"/>
                <w:right w:val="nil"/>
                <w:between w:val="nil"/>
              </w:pBdr>
              <w:spacing w:after="240" w:line="240" w:lineRule="auto"/>
              <w:rPr>
                <w:color w:val="000000"/>
                <w:sz w:val="20"/>
                <w:szCs w:val="20"/>
              </w:rPr>
            </w:pPr>
            <w:r>
              <w:rPr>
                <w:color w:val="000000"/>
                <w:sz w:val="20"/>
                <w:szCs w:val="20"/>
              </w:rPr>
              <w:t>Unresolved differences are not recorded in a timely manner.</w:t>
            </w:r>
          </w:p>
          <w:p w14:paraId="455D1392" w14:textId="77777777" w:rsidR="00651D6B" w:rsidRDefault="00651D6B" w:rsidP="00E26D05">
            <w:pPr>
              <w:pBdr>
                <w:top w:val="nil"/>
                <w:left w:val="nil"/>
                <w:bottom w:val="nil"/>
                <w:right w:val="nil"/>
                <w:between w:val="nil"/>
              </w:pBdr>
              <w:spacing w:after="240" w:line="240" w:lineRule="auto"/>
              <w:rPr>
                <w:sz w:val="20"/>
                <w:szCs w:val="20"/>
                <w:u w:val="single"/>
              </w:rPr>
            </w:pPr>
            <w:r>
              <w:rPr>
                <w:sz w:val="20"/>
                <w:szCs w:val="20"/>
                <w:u w:val="single"/>
              </w:rPr>
              <w:t>Other Considerations</w:t>
            </w:r>
          </w:p>
          <w:p w14:paraId="1EC4A8D9" w14:textId="77777777" w:rsidR="00651D6B" w:rsidRDefault="00651D6B" w:rsidP="00E26D05">
            <w:pPr>
              <w:pBdr>
                <w:top w:val="nil"/>
                <w:left w:val="nil"/>
                <w:bottom w:val="nil"/>
                <w:right w:val="nil"/>
                <w:between w:val="nil"/>
              </w:pBdr>
              <w:spacing w:after="240" w:line="240" w:lineRule="auto"/>
              <w:rPr>
                <w:sz w:val="20"/>
                <w:szCs w:val="20"/>
              </w:rPr>
            </w:pPr>
            <w:r>
              <w:rPr>
                <w:sz w:val="20"/>
                <w:szCs w:val="20"/>
              </w:rPr>
              <w:t>Broker-dealers should ensure that they have appropriate operational controls designed and implemented around the setup and reconciliation of securities in their possession or control.</w:t>
            </w:r>
          </w:p>
        </w:tc>
      </w:tr>
      <w:tr w:rsidR="00651D6B" w14:paraId="139515FE" w14:textId="77777777" w:rsidTr="00E26D05">
        <w:tc>
          <w:tcPr>
            <w:tcW w:w="3325" w:type="dxa"/>
          </w:tcPr>
          <w:p w14:paraId="652E3B5D" w14:textId="77777777" w:rsidR="00651D6B" w:rsidRDefault="00651D6B" w:rsidP="00E26D05">
            <w:pPr>
              <w:spacing w:line="240" w:lineRule="auto"/>
              <w:rPr>
                <w:b/>
                <w:sz w:val="20"/>
                <w:szCs w:val="20"/>
              </w:rPr>
            </w:pPr>
            <w:r>
              <w:rPr>
                <w:b/>
                <w:sz w:val="20"/>
                <w:szCs w:val="20"/>
              </w:rPr>
              <w:t>Quarterly Security Counts – Count Date</w:t>
            </w:r>
          </w:p>
          <w:p w14:paraId="39A85001" w14:textId="77777777" w:rsidR="00651D6B" w:rsidRDefault="00651D6B" w:rsidP="00E26D05">
            <w:pPr>
              <w:spacing w:line="240" w:lineRule="auto"/>
              <w:rPr>
                <w:b/>
                <w:sz w:val="20"/>
                <w:szCs w:val="20"/>
              </w:rPr>
            </w:pPr>
            <w:r>
              <w:rPr>
                <w:sz w:val="20"/>
                <w:szCs w:val="20"/>
              </w:rPr>
              <w:t>The security count may be performed on either a certain date each calendar quarter or on a cyclical basis.  If the count is performed on a cyclical basis, it may not extend more than 1 calendar quarter-year and must be performed no less than 2 months or no more than 4 months since the previous examination.</w:t>
            </w:r>
          </w:p>
        </w:tc>
        <w:tc>
          <w:tcPr>
            <w:tcW w:w="3060" w:type="dxa"/>
          </w:tcPr>
          <w:p w14:paraId="0911FB73" w14:textId="77777777" w:rsidR="00651D6B" w:rsidRDefault="00651D6B" w:rsidP="00E26D05">
            <w:pPr>
              <w:pBdr>
                <w:top w:val="nil"/>
                <w:left w:val="nil"/>
                <w:bottom w:val="nil"/>
                <w:right w:val="nil"/>
                <w:between w:val="nil"/>
              </w:pBdr>
              <w:spacing w:line="240" w:lineRule="auto"/>
              <w:rPr>
                <w:b/>
                <w:i/>
                <w:color w:val="000000"/>
                <w:sz w:val="20"/>
                <w:szCs w:val="20"/>
              </w:rPr>
            </w:pPr>
            <w:r>
              <w:rPr>
                <w:b/>
                <w:i/>
                <w:color w:val="000000"/>
                <w:sz w:val="20"/>
                <w:szCs w:val="20"/>
              </w:rPr>
              <w:t xml:space="preserve">17a-13(c) – </w:t>
            </w:r>
            <w:r>
              <w:rPr>
                <w:b/>
                <w:color w:val="000000"/>
                <w:sz w:val="20"/>
                <w:szCs w:val="20"/>
              </w:rPr>
              <w:t>Count Date</w:t>
            </w:r>
          </w:p>
        </w:tc>
        <w:tc>
          <w:tcPr>
            <w:tcW w:w="2970" w:type="dxa"/>
          </w:tcPr>
          <w:p w14:paraId="11E83064" w14:textId="77777777" w:rsidR="00651D6B" w:rsidRDefault="00651D6B" w:rsidP="00651D6B">
            <w:pPr>
              <w:numPr>
                <w:ilvl w:val="0"/>
                <w:numId w:val="3"/>
              </w:numPr>
              <w:pBdr>
                <w:top w:val="nil"/>
                <w:left w:val="nil"/>
                <w:bottom w:val="nil"/>
                <w:right w:val="nil"/>
                <w:between w:val="nil"/>
              </w:pBdr>
              <w:spacing w:after="240" w:line="240" w:lineRule="auto"/>
              <w:rPr>
                <w:color w:val="000000"/>
                <w:sz w:val="20"/>
                <w:szCs w:val="20"/>
              </w:rPr>
            </w:pPr>
            <w:r>
              <w:rPr>
                <w:color w:val="000000"/>
                <w:sz w:val="20"/>
                <w:szCs w:val="20"/>
              </w:rPr>
              <w:t>A required quarterly security count is not performed in the appropriate time period.</w:t>
            </w:r>
          </w:p>
        </w:tc>
      </w:tr>
      <w:tr w:rsidR="00651D6B" w14:paraId="617571F8" w14:textId="77777777" w:rsidTr="00E26D05">
        <w:tc>
          <w:tcPr>
            <w:tcW w:w="3325" w:type="dxa"/>
          </w:tcPr>
          <w:p w14:paraId="59796473" w14:textId="77777777" w:rsidR="00651D6B" w:rsidRDefault="00651D6B" w:rsidP="00E26D05">
            <w:pPr>
              <w:spacing w:line="240" w:lineRule="auto"/>
              <w:rPr>
                <w:b/>
                <w:sz w:val="20"/>
                <w:szCs w:val="20"/>
              </w:rPr>
            </w:pPr>
            <w:r>
              <w:rPr>
                <w:b/>
                <w:sz w:val="20"/>
                <w:szCs w:val="20"/>
              </w:rPr>
              <w:t>Quarterly Security Counts – Segregation of Duties</w:t>
            </w:r>
          </w:p>
          <w:p w14:paraId="210F6BF1" w14:textId="77777777" w:rsidR="00651D6B" w:rsidRDefault="00651D6B" w:rsidP="00E26D05">
            <w:pPr>
              <w:spacing w:line="240" w:lineRule="auto"/>
              <w:rPr>
                <w:sz w:val="20"/>
                <w:szCs w:val="20"/>
              </w:rPr>
            </w:pPr>
            <w:r>
              <w:rPr>
                <w:sz w:val="20"/>
                <w:szCs w:val="20"/>
              </w:rPr>
              <w:t xml:space="preserve">The quarterly security count must be made or supervised by individuals whose regular duties do not include direct responsibility, due care, or the </w:t>
            </w:r>
            <w:r>
              <w:rPr>
                <w:sz w:val="20"/>
                <w:szCs w:val="20"/>
              </w:rPr>
              <w:lastRenderedPageBreak/>
              <w:t>making and preserving of securities records.</w:t>
            </w:r>
          </w:p>
        </w:tc>
        <w:tc>
          <w:tcPr>
            <w:tcW w:w="3060" w:type="dxa"/>
          </w:tcPr>
          <w:p w14:paraId="67ACC00F" w14:textId="77777777" w:rsidR="00651D6B" w:rsidRDefault="00651D6B" w:rsidP="00E26D05">
            <w:pPr>
              <w:pBdr>
                <w:top w:val="nil"/>
                <w:left w:val="nil"/>
                <w:bottom w:val="nil"/>
                <w:right w:val="nil"/>
                <w:between w:val="nil"/>
              </w:pBdr>
              <w:spacing w:line="240" w:lineRule="auto"/>
              <w:rPr>
                <w:b/>
                <w:i/>
                <w:color w:val="000000"/>
                <w:sz w:val="20"/>
                <w:szCs w:val="20"/>
              </w:rPr>
            </w:pPr>
            <w:r>
              <w:rPr>
                <w:b/>
                <w:i/>
                <w:color w:val="000000"/>
                <w:sz w:val="20"/>
                <w:szCs w:val="20"/>
              </w:rPr>
              <w:lastRenderedPageBreak/>
              <w:t xml:space="preserve">17a-13(d) – </w:t>
            </w:r>
            <w:r>
              <w:rPr>
                <w:b/>
                <w:color w:val="000000"/>
                <w:sz w:val="20"/>
                <w:szCs w:val="20"/>
              </w:rPr>
              <w:t>Segregation of Duties</w:t>
            </w:r>
          </w:p>
        </w:tc>
        <w:tc>
          <w:tcPr>
            <w:tcW w:w="2970" w:type="dxa"/>
          </w:tcPr>
          <w:p w14:paraId="6950F289" w14:textId="77777777" w:rsidR="00651D6B" w:rsidRDefault="00651D6B" w:rsidP="00651D6B">
            <w:pPr>
              <w:numPr>
                <w:ilvl w:val="0"/>
                <w:numId w:val="3"/>
              </w:numPr>
              <w:pBdr>
                <w:top w:val="nil"/>
                <w:left w:val="nil"/>
                <w:bottom w:val="nil"/>
                <w:right w:val="nil"/>
                <w:between w:val="nil"/>
              </w:pBdr>
              <w:spacing w:after="240" w:line="240" w:lineRule="auto"/>
              <w:rPr>
                <w:color w:val="000000"/>
                <w:sz w:val="20"/>
                <w:szCs w:val="20"/>
              </w:rPr>
            </w:pPr>
            <w:r>
              <w:rPr>
                <w:color w:val="000000"/>
                <w:sz w:val="20"/>
                <w:szCs w:val="20"/>
              </w:rPr>
              <w:t>The performance or supervision of the quarterly security count is not performed by an appropriate individual.</w:t>
            </w:r>
          </w:p>
        </w:tc>
      </w:tr>
    </w:tbl>
    <w:p w14:paraId="71A22F20" w14:textId="77777777" w:rsidR="00651D6B" w:rsidRDefault="00651D6B" w:rsidP="00651D6B">
      <w:pPr>
        <w:spacing w:line="240" w:lineRule="auto"/>
      </w:pPr>
      <w: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060"/>
        <w:gridCol w:w="2970"/>
      </w:tblGrid>
      <w:tr w:rsidR="00651D6B" w14:paraId="75509E48" w14:textId="77777777" w:rsidTr="00E26D05">
        <w:tc>
          <w:tcPr>
            <w:tcW w:w="3325" w:type="dxa"/>
            <w:tcBorders>
              <w:top w:val="single" w:sz="4" w:space="0" w:color="000000"/>
              <w:left w:val="single" w:sz="4" w:space="0" w:color="000000"/>
              <w:bottom w:val="single" w:sz="4" w:space="0" w:color="000000"/>
              <w:right w:val="single" w:sz="4" w:space="0" w:color="000000"/>
            </w:tcBorders>
          </w:tcPr>
          <w:p w14:paraId="75F6DE60" w14:textId="77777777" w:rsidR="00651D6B" w:rsidRPr="006F2C26" w:rsidRDefault="00651D6B" w:rsidP="00E26D05">
            <w:pPr>
              <w:spacing w:line="240" w:lineRule="auto"/>
              <w:rPr>
                <w:b/>
                <w:sz w:val="20"/>
                <w:szCs w:val="20"/>
              </w:rPr>
            </w:pPr>
            <w:r w:rsidRPr="006F2C26">
              <w:rPr>
                <w:b/>
                <w:sz w:val="20"/>
                <w:szCs w:val="20"/>
              </w:rPr>
              <w:lastRenderedPageBreak/>
              <w:t>ICOC Rule Requirement</w:t>
            </w:r>
          </w:p>
        </w:tc>
        <w:tc>
          <w:tcPr>
            <w:tcW w:w="3060" w:type="dxa"/>
            <w:tcBorders>
              <w:top w:val="single" w:sz="4" w:space="0" w:color="000000"/>
              <w:left w:val="single" w:sz="4" w:space="0" w:color="000000"/>
              <w:bottom w:val="single" w:sz="4" w:space="0" w:color="000000"/>
              <w:right w:val="single" w:sz="4" w:space="0" w:color="000000"/>
            </w:tcBorders>
          </w:tcPr>
          <w:p w14:paraId="1ABDFD8A" w14:textId="77777777" w:rsidR="00651D6B" w:rsidRPr="006F2C26" w:rsidRDefault="00651D6B" w:rsidP="00E26D05">
            <w:pPr>
              <w:pBdr>
                <w:top w:val="nil"/>
                <w:left w:val="nil"/>
                <w:bottom w:val="nil"/>
                <w:right w:val="nil"/>
                <w:between w:val="nil"/>
              </w:pBdr>
              <w:spacing w:line="240" w:lineRule="auto"/>
              <w:rPr>
                <w:b/>
                <w:i/>
                <w:color w:val="000000"/>
                <w:sz w:val="20"/>
                <w:szCs w:val="20"/>
              </w:rPr>
            </w:pPr>
            <w:r w:rsidRPr="006F2C26">
              <w:rPr>
                <w:b/>
                <w:i/>
                <w:color w:val="000000"/>
                <w:sz w:val="20"/>
                <w:szCs w:val="20"/>
              </w:rPr>
              <w:t>Rule References</w:t>
            </w:r>
          </w:p>
        </w:tc>
        <w:tc>
          <w:tcPr>
            <w:tcW w:w="2970" w:type="dxa"/>
            <w:tcBorders>
              <w:top w:val="single" w:sz="4" w:space="0" w:color="000000"/>
              <w:left w:val="single" w:sz="4" w:space="0" w:color="000000"/>
              <w:bottom w:val="single" w:sz="4" w:space="0" w:color="000000"/>
              <w:right w:val="single" w:sz="4" w:space="0" w:color="000000"/>
            </w:tcBorders>
          </w:tcPr>
          <w:p w14:paraId="05B469EF" w14:textId="77777777" w:rsidR="00651D6B" w:rsidRPr="006F2C26" w:rsidRDefault="00651D6B" w:rsidP="00E26D05">
            <w:pPr>
              <w:pBdr>
                <w:top w:val="nil"/>
                <w:left w:val="nil"/>
                <w:bottom w:val="nil"/>
                <w:right w:val="nil"/>
                <w:between w:val="nil"/>
              </w:pBdr>
              <w:spacing w:after="240" w:line="240" w:lineRule="auto"/>
              <w:ind w:left="360" w:hanging="360"/>
              <w:rPr>
                <w:color w:val="000000"/>
                <w:sz w:val="20"/>
                <w:szCs w:val="20"/>
              </w:rPr>
            </w:pPr>
            <w:r w:rsidRPr="006F2C26">
              <w:rPr>
                <w:color w:val="000000"/>
                <w:sz w:val="20"/>
                <w:szCs w:val="20"/>
              </w:rPr>
              <w:t>Illustrative compliance risk point</w:t>
            </w:r>
          </w:p>
        </w:tc>
      </w:tr>
    </w:tbl>
    <w:tbl>
      <w:tblPr>
        <w:tblStyle w:val="TableGrid"/>
        <w:tblW w:w="9355" w:type="dxa"/>
        <w:tblLook w:val="04A0" w:firstRow="1" w:lastRow="0" w:firstColumn="1" w:lastColumn="0" w:noHBand="0" w:noVBand="1"/>
      </w:tblPr>
      <w:tblGrid>
        <w:gridCol w:w="3325"/>
        <w:gridCol w:w="3060"/>
        <w:gridCol w:w="2970"/>
      </w:tblGrid>
      <w:tr w:rsidR="00651D6B" w14:paraId="282F1CC6" w14:textId="77777777" w:rsidTr="00E26D05">
        <w:tc>
          <w:tcPr>
            <w:tcW w:w="3325" w:type="dxa"/>
          </w:tcPr>
          <w:p w14:paraId="30D533A8" w14:textId="77777777" w:rsidR="00651D6B" w:rsidRDefault="00651D6B" w:rsidP="00E26D05">
            <w:pPr>
              <w:rPr>
                <w:b/>
                <w:bCs/>
                <w:sz w:val="20"/>
                <w:szCs w:val="20"/>
              </w:rPr>
            </w:pPr>
            <w:r>
              <w:rPr>
                <w:b/>
                <w:bCs/>
                <w:sz w:val="20"/>
                <w:szCs w:val="20"/>
              </w:rPr>
              <w:t>Account Statement Rule</w:t>
            </w:r>
          </w:p>
          <w:p w14:paraId="7E2B857A" w14:textId="77777777" w:rsidR="00651D6B" w:rsidRPr="00F83212" w:rsidRDefault="00651D6B" w:rsidP="00E26D05">
            <w:pPr>
              <w:rPr>
                <w:sz w:val="20"/>
                <w:szCs w:val="20"/>
              </w:rPr>
            </w:pPr>
            <w:r w:rsidRPr="00F83212">
              <w:rPr>
                <w:sz w:val="20"/>
                <w:szCs w:val="20"/>
              </w:rPr>
              <w:t>A broker</w:t>
            </w:r>
            <w:r>
              <w:rPr>
                <w:sz w:val="20"/>
                <w:szCs w:val="20"/>
              </w:rPr>
              <w:t>-</w:t>
            </w:r>
            <w:r w:rsidRPr="00F83212">
              <w:rPr>
                <w:sz w:val="20"/>
                <w:szCs w:val="20"/>
              </w:rPr>
              <w:t xml:space="preserve">dealer </w:t>
            </w:r>
            <w:r>
              <w:rPr>
                <w:sz w:val="20"/>
                <w:szCs w:val="20"/>
              </w:rPr>
              <w:t>shall</w:t>
            </w:r>
            <w:r w:rsidRPr="00F83212">
              <w:rPr>
                <w:sz w:val="20"/>
                <w:szCs w:val="20"/>
              </w:rPr>
              <w:t xml:space="preserve"> send account statements to its customers at least once a quarter containing security positions, money balances or account activity to each customer whose account had a security position, money balance or account activity since the last statement</w:t>
            </w:r>
          </w:p>
        </w:tc>
        <w:tc>
          <w:tcPr>
            <w:tcW w:w="3060" w:type="dxa"/>
          </w:tcPr>
          <w:p w14:paraId="66AC842B" w14:textId="77777777" w:rsidR="00651D6B" w:rsidRPr="00AF59D7" w:rsidRDefault="00651D6B" w:rsidP="00E26D05">
            <w:pPr>
              <w:pStyle w:val="Default"/>
              <w:rPr>
                <w:rFonts w:asciiTheme="minorHAnsi" w:hAnsiTheme="minorHAnsi" w:cstheme="minorHAnsi"/>
                <w:i/>
                <w:iCs/>
                <w:sz w:val="20"/>
                <w:szCs w:val="20"/>
              </w:rPr>
            </w:pPr>
            <w:r w:rsidRPr="00AF59D7">
              <w:rPr>
                <w:rFonts w:asciiTheme="minorHAnsi" w:hAnsiTheme="minorHAnsi" w:cstheme="minorHAnsi"/>
                <w:i/>
                <w:iCs/>
                <w:sz w:val="20"/>
                <w:szCs w:val="20"/>
              </w:rPr>
              <w:t>FINRA Rule 2231 Customer Account Statements para (a) General</w:t>
            </w:r>
          </w:p>
        </w:tc>
        <w:tc>
          <w:tcPr>
            <w:tcW w:w="2970" w:type="dxa"/>
          </w:tcPr>
          <w:p w14:paraId="0357405D" w14:textId="77777777" w:rsidR="00651D6B" w:rsidRPr="00F83212" w:rsidRDefault="00651D6B" w:rsidP="00651D6B">
            <w:pPr>
              <w:pStyle w:val="ListParagraph"/>
              <w:numPr>
                <w:ilvl w:val="0"/>
                <w:numId w:val="1"/>
              </w:numPr>
              <w:spacing w:after="240" w:line="240" w:lineRule="auto"/>
              <w:rPr>
                <w:rFonts w:cstheme="minorHAnsi"/>
                <w:sz w:val="18"/>
                <w:szCs w:val="18"/>
              </w:rPr>
            </w:pPr>
            <w:r>
              <w:rPr>
                <w:sz w:val="18"/>
                <w:szCs w:val="18"/>
              </w:rPr>
              <w:t>Account statements are not sent to customers on at least a quarterly basis as required by the Rule.</w:t>
            </w:r>
          </w:p>
          <w:p w14:paraId="454CE1FD" w14:textId="77777777" w:rsidR="00651D6B" w:rsidRPr="00F83212" w:rsidRDefault="00651D6B" w:rsidP="00651D6B">
            <w:pPr>
              <w:pStyle w:val="ListParagraph"/>
              <w:numPr>
                <w:ilvl w:val="0"/>
                <w:numId w:val="1"/>
              </w:numPr>
              <w:spacing w:after="240" w:line="240" w:lineRule="auto"/>
              <w:rPr>
                <w:rFonts w:cstheme="minorHAnsi"/>
                <w:sz w:val="18"/>
                <w:szCs w:val="18"/>
              </w:rPr>
            </w:pPr>
            <w:r>
              <w:rPr>
                <w:sz w:val="18"/>
                <w:szCs w:val="18"/>
              </w:rPr>
              <w:t>The population of customers to whom account statements are sent is incomplete.</w:t>
            </w:r>
          </w:p>
          <w:p w14:paraId="31867536" w14:textId="77777777" w:rsidR="00651D6B" w:rsidRPr="00F83212" w:rsidRDefault="00651D6B" w:rsidP="00651D6B">
            <w:pPr>
              <w:pStyle w:val="ListParagraph"/>
              <w:numPr>
                <w:ilvl w:val="0"/>
                <w:numId w:val="1"/>
              </w:numPr>
              <w:spacing w:after="240" w:line="240" w:lineRule="auto"/>
              <w:rPr>
                <w:rFonts w:cstheme="minorHAnsi"/>
                <w:sz w:val="18"/>
                <w:szCs w:val="18"/>
              </w:rPr>
            </w:pPr>
            <w:r w:rsidRPr="00F83212">
              <w:rPr>
                <w:sz w:val="18"/>
                <w:szCs w:val="18"/>
              </w:rPr>
              <w:t>Descriptions of all securities positions, money balances, or account activity for each customer account that had a security position, money balance, or account activity during the period since the last statement was sent to the customer are inaccurate and/or incomplete.</w:t>
            </w:r>
          </w:p>
          <w:p w14:paraId="0E4B6B57" w14:textId="77777777" w:rsidR="00651D6B" w:rsidRPr="00F83212" w:rsidRDefault="00651D6B" w:rsidP="00651D6B">
            <w:pPr>
              <w:pStyle w:val="ListParagraph"/>
              <w:numPr>
                <w:ilvl w:val="0"/>
                <w:numId w:val="1"/>
              </w:numPr>
              <w:spacing w:after="240" w:line="240" w:lineRule="auto"/>
              <w:rPr>
                <w:rFonts w:cstheme="minorHAnsi"/>
                <w:sz w:val="18"/>
                <w:szCs w:val="18"/>
              </w:rPr>
            </w:pPr>
            <w:r>
              <w:rPr>
                <w:sz w:val="18"/>
                <w:szCs w:val="18"/>
              </w:rPr>
              <w:t xml:space="preserve">Pricing information for positions does not reflect the values on the stock record resulting in inaccurate customer statements. </w:t>
            </w:r>
          </w:p>
          <w:p w14:paraId="7E61B075" w14:textId="77777777" w:rsidR="00651D6B" w:rsidRPr="00F83212" w:rsidRDefault="00651D6B" w:rsidP="00651D6B">
            <w:pPr>
              <w:pStyle w:val="ListParagraph"/>
              <w:numPr>
                <w:ilvl w:val="0"/>
                <w:numId w:val="1"/>
              </w:numPr>
              <w:spacing w:after="240" w:line="240" w:lineRule="auto"/>
              <w:rPr>
                <w:rFonts w:cstheme="minorHAnsi"/>
                <w:sz w:val="18"/>
                <w:szCs w:val="18"/>
              </w:rPr>
            </w:pPr>
            <w:r>
              <w:rPr>
                <w:sz w:val="18"/>
                <w:szCs w:val="18"/>
              </w:rPr>
              <w:t>Account statements omit a statement that advises the customer to report promptly any inaccuracy or discrepancy in that person's account to their brokerage firm as required by the Rule.</w:t>
            </w:r>
          </w:p>
          <w:p w14:paraId="04BB8021" w14:textId="77777777" w:rsidR="00651D6B" w:rsidRDefault="00651D6B" w:rsidP="00651D6B">
            <w:pPr>
              <w:pStyle w:val="ListParagraph"/>
              <w:numPr>
                <w:ilvl w:val="0"/>
                <w:numId w:val="1"/>
              </w:numPr>
              <w:spacing w:after="240" w:line="240" w:lineRule="auto"/>
              <w:rPr>
                <w:rFonts w:cstheme="minorHAnsi"/>
                <w:sz w:val="18"/>
                <w:szCs w:val="18"/>
              </w:rPr>
            </w:pPr>
            <w:r>
              <w:rPr>
                <w:sz w:val="18"/>
                <w:szCs w:val="18"/>
              </w:rPr>
              <w:t>Accounts statements omit a statement that advises the customer that any oral communications should be re-confirmed in writing to further protect the customer's rights, including rights under the Securities Investor Protection Act (SIPA) as required by the Rule.</w:t>
            </w:r>
          </w:p>
        </w:tc>
      </w:tr>
      <w:tr w:rsidR="00651D6B" w14:paraId="1010C57D" w14:textId="77777777" w:rsidTr="00E26D05">
        <w:tc>
          <w:tcPr>
            <w:tcW w:w="3325" w:type="dxa"/>
          </w:tcPr>
          <w:p w14:paraId="326FA6E8" w14:textId="77777777" w:rsidR="00651D6B" w:rsidRDefault="00651D6B" w:rsidP="00E26D05">
            <w:pPr>
              <w:rPr>
                <w:b/>
                <w:bCs/>
                <w:sz w:val="20"/>
                <w:szCs w:val="20"/>
              </w:rPr>
            </w:pPr>
            <w:r>
              <w:rPr>
                <w:b/>
                <w:bCs/>
                <w:sz w:val="20"/>
                <w:szCs w:val="20"/>
              </w:rPr>
              <w:t>Account Statement Rule</w:t>
            </w:r>
          </w:p>
          <w:p w14:paraId="0062D6FF" w14:textId="77777777" w:rsidR="00651D6B" w:rsidRDefault="00651D6B" w:rsidP="00E26D05">
            <w:pPr>
              <w:rPr>
                <w:b/>
                <w:bCs/>
                <w:sz w:val="20"/>
                <w:szCs w:val="20"/>
              </w:rPr>
            </w:pPr>
            <w:r w:rsidRPr="00F83212">
              <w:rPr>
                <w:sz w:val="20"/>
                <w:szCs w:val="20"/>
              </w:rPr>
              <w:t>A broker</w:t>
            </w:r>
            <w:r>
              <w:rPr>
                <w:sz w:val="20"/>
                <w:szCs w:val="20"/>
              </w:rPr>
              <w:t>-</w:t>
            </w:r>
            <w:r w:rsidRPr="00F83212">
              <w:rPr>
                <w:sz w:val="20"/>
                <w:szCs w:val="20"/>
              </w:rPr>
              <w:t xml:space="preserve">dealer </w:t>
            </w:r>
            <w:r>
              <w:rPr>
                <w:sz w:val="20"/>
                <w:szCs w:val="20"/>
              </w:rPr>
              <w:t>may not send quarterly statements to DVP/RVP accounts if certain conditions are met</w:t>
            </w:r>
          </w:p>
        </w:tc>
        <w:tc>
          <w:tcPr>
            <w:tcW w:w="3060" w:type="dxa"/>
          </w:tcPr>
          <w:p w14:paraId="6ADE9767" w14:textId="77777777" w:rsidR="00651D6B" w:rsidRPr="00F83212" w:rsidRDefault="00651D6B" w:rsidP="00E26D05">
            <w:pPr>
              <w:pStyle w:val="Default"/>
              <w:rPr>
                <w:rFonts w:asciiTheme="minorHAnsi" w:hAnsiTheme="minorHAnsi" w:cstheme="minorHAnsi"/>
                <w:i/>
                <w:iCs/>
                <w:sz w:val="20"/>
                <w:szCs w:val="20"/>
              </w:rPr>
            </w:pPr>
            <w:r w:rsidRPr="00F83212">
              <w:rPr>
                <w:rFonts w:asciiTheme="minorHAnsi" w:hAnsiTheme="minorHAnsi" w:cstheme="minorHAnsi"/>
                <w:i/>
                <w:iCs/>
                <w:sz w:val="20"/>
                <w:szCs w:val="20"/>
              </w:rPr>
              <w:t>FINRA Rule 2231 Customer Account Statements para (</w:t>
            </w:r>
            <w:r>
              <w:rPr>
                <w:rFonts w:asciiTheme="minorHAnsi" w:hAnsiTheme="minorHAnsi" w:cstheme="minorHAnsi"/>
                <w:i/>
                <w:iCs/>
                <w:sz w:val="20"/>
                <w:szCs w:val="20"/>
              </w:rPr>
              <w:t>b</w:t>
            </w:r>
            <w:r w:rsidRPr="00F83212">
              <w:rPr>
                <w:rFonts w:asciiTheme="minorHAnsi" w:hAnsiTheme="minorHAnsi" w:cstheme="minorHAnsi"/>
                <w:i/>
                <w:iCs/>
                <w:sz w:val="20"/>
                <w:szCs w:val="20"/>
              </w:rPr>
              <w:t>)</w:t>
            </w:r>
            <w:r>
              <w:t xml:space="preserve"> </w:t>
            </w:r>
            <w:r w:rsidRPr="00F83212">
              <w:rPr>
                <w:rFonts w:asciiTheme="minorHAnsi" w:hAnsiTheme="minorHAnsi" w:cstheme="minorHAnsi"/>
                <w:i/>
                <w:iCs/>
                <w:sz w:val="20"/>
                <w:szCs w:val="20"/>
              </w:rPr>
              <w:t>Delivery Versus Payment/Receive Versus Payment (DVP/RVP) Accounts</w:t>
            </w:r>
          </w:p>
        </w:tc>
        <w:tc>
          <w:tcPr>
            <w:tcW w:w="2970" w:type="dxa"/>
          </w:tcPr>
          <w:p w14:paraId="78632F0C" w14:textId="77777777" w:rsidR="00651D6B" w:rsidRDefault="00651D6B" w:rsidP="00651D6B">
            <w:pPr>
              <w:pStyle w:val="ListParagraph"/>
              <w:numPr>
                <w:ilvl w:val="0"/>
                <w:numId w:val="1"/>
              </w:numPr>
              <w:spacing w:after="240" w:line="240" w:lineRule="auto"/>
              <w:rPr>
                <w:sz w:val="18"/>
                <w:szCs w:val="18"/>
              </w:rPr>
            </w:pPr>
            <w:r>
              <w:rPr>
                <w:sz w:val="18"/>
                <w:szCs w:val="18"/>
              </w:rPr>
              <w:t>The broker-dealer does not send customer account statements for DVP/RVP customers, whose accounts have not met the six suppression criteria in the Rule.</w:t>
            </w:r>
          </w:p>
        </w:tc>
      </w:tr>
      <w:tr w:rsidR="00651D6B" w14:paraId="1D336507" w14:textId="77777777" w:rsidTr="00E26D05">
        <w:tc>
          <w:tcPr>
            <w:tcW w:w="3325" w:type="dxa"/>
          </w:tcPr>
          <w:p w14:paraId="6E751610" w14:textId="77777777" w:rsidR="00651D6B" w:rsidRDefault="00651D6B" w:rsidP="00E26D05">
            <w:pPr>
              <w:rPr>
                <w:b/>
                <w:bCs/>
                <w:sz w:val="20"/>
                <w:szCs w:val="20"/>
              </w:rPr>
            </w:pPr>
            <w:r>
              <w:rPr>
                <w:b/>
                <w:bCs/>
                <w:sz w:val="20"/>
                <w:szCs w:val="20"/>
              </w:rPr>
              <w:t>Account Statement Rule</w:t>
            </w:r>
          </w:p>
          <w:p w14:paraId="1CDC52DC" w14:textId="77777777" w:rsidR="00651D6B" w:rsidRDefault="00651D6B" w:rsidP="00E26D05">
            <w:pPr>
              <w:rPr>
                <w:b/>
                <w:bCs/>
                <w:sz w:val="20"/>
                <w:szCs w:val="20"/>
              </w:rPr>
            </w:pPr>
            <w:r w:rsidRPr="00F83212">
              <w:rPr>
                <w:sz w:val="20"/>
                <w:szCs w:val="20"/>
              </w:rPr>
              <w:t>A broker</w:t>
            </w:r>
            <w:r>
              <w:rPr>
                <w:sz w:val="20"/>
                <w:szCs w:val="20"/>
              </w:rPr>
              <w:t>-</w:t>
            </w:r>
            <w:r w:rsidRPr="00F83212">
              <w:rPr>
                <w:sz w:val="20"/>
                <w:szCs w:val="20"/>
              </w:rPr>
              <w:t xml:space="preserve">dealer </w:t>
            </w:r>
            <w:r>
              <w:rPr>
                <w:sz w:val="20"/>
                <w:szCs w:val="20"/>
              </w:rPr>
              <w:t>shall include in customer statements a per share estimated value of a direct participation program (DPP) or unlisted real estate investment trust (REIT) that are reliable</w:t>
            </w:r>
          </w:p>
        </w:tc>
        <w:tc>
          <w:tcPr>
            <w:tcW w:w="3060" w:type="dxa"/>
          </w:tcPr>
          <w:p w14:paraId="4B637CE4" w14:textId="77777777" w:rsidR="00651D6B" w:rsidRPr="00F83212" w:rsidRDefault="00651D6B" w:rsidP="00E26D05">
            <w:pPr>
              <w:pStyle w:val="Default"/>
              <w:rPr>
                <w:rFonts w:asciiTheme="minorHAnsi" w:hAnsiTheme="minorHAnsi" w:cstheme="minorHAnsi"/>
                <w:i/>
                <w:iCs/>
                <w:sz w:val="20"/>
                <w:szCs w:val="20"/>
              </w:rPr>
            </w:pPr>
            <w:r w:rsidRPr="00F83212">
              <w:rPr>
                <w:rFonts w:asciiTheme="minorHAnsi" w:hAnsiTheme="minorHAnsi" w:cstheme="minorHAnsi"/>
                <w:i/>
                <w:iCs/>
                <w:sz w:val="20"/>
                <w:szCs w:val="20"/>
              </w:rPr>
              <w:t>FINRA Rule 2231 Customer Account Statements para (</w:t>
            </w:r>
            <w:r>
              <w:rPr>
                <w:rFonts w:asciiTheme="minorHAnsi" w:hAnsiTheme="minorHAnsi" w:cstheme="minorHAnsi"/>
                <w:i/>
                <w:iCs/>
                <w:sz w:val="20"/>
                <w:szCs w:val="20"/>
              </w:rPr>
              <w:t>c</w:t>
            </w:r>
            <w:r w:rsidRPr="00F83212">
              <w:rPr>
                <w:rFonts w:asciiTheme="minorHAnsi" w:hAnsiTheme="minorHAnsi" w:cstheme="minorHAnsi"/>
                <w:i/>
                <w:iCs/>
                <w:sz w:val="20"/>
                <w:szCs w:val="20"/>
              </w:rPr>
              <w:t>)</w:t>
            </w:r>
            <w:r>
              <w:rPr>
                <w:rFonts w:asciiTheme="minorHAnsi" w:hAnsiTheme="minorHAnsi" w:cstheme="minorHAnsi"/>
                <w:i/>
                <w:iCs/>
                <w:sz w:val="20"/>
                <w:szCs w:val="20"/>
              </w:rPr>
              <w:t xml:space="preserve"> </w:t>
            </w:r>
            <w:r w:rsidRPr="00F83212">
              <w:rPr>
                <w:rFonts w:asciiTheme="minorHAnsi" w:hAnsiTheme="minorHAnsi" w:cstheme="minorHAnsi"/>
                <w:i/>
                <w:iCs/>
                <w:sz w:val="20"/>
                <w:szCs w:val="20"/>
              </w:rPr>
              <w:t>DPP and Unlisted REIT Securities</w:t>
            </w:r>
          </w:p>
        </w:tc>
        <w:tc>
          <w:tcPr>
            <w:tcW w:w="2970" w:type="dxa"/>
          </w:tcPr>
          <w:p w14:paraId="42BB0ECB" w14:textId="77777777" w:rsidR="00651D6B" w:rsidRDefault="00651D6B" w:rsidP="00651D6B">
            <w:pPr>
              <w:pStyle w:val="ListParagraph"/>
              <w:numPr>
                <w:ilvl w:val="0"/>
                <w:numId w:val="1"/>
              </w:numPr>
              <w:spacing w:after="240" w:line="240" w:lineRule="auto"/>
              <w:rPr>
                <w:sz w:val="18"/>
                <w:szCs w:val="18"/>
              </w:rPr>
            </w:pPr>
            <w:r>
              <w:rPr>
                <w:sz w:val="18"/>
                <w:szCs w:val="18"/>
              </w:rPr>
              <w:t>Required elements of account statement information related to direct participation program (DPP) or unlisted real estate investment trust (REIT) securities are omitted, inaccurate, unreliable, or inappropriately disclosed as opposed to what’s required by the Rule.</w:t>
            </w:r>
          </w:p>
        </w:tc>
      </w:tr>
      <w:tr w:rsidR="00651D6B" w14:paraId="1572D516" w14:textId="77777777" w:rsidTr="00E26D05">
        <w:tc>
          <w:tcPr>
            <w:tcW w:w="3325" w:type="dxa"/>
          </w:tcPr>
          <w:p w14:paraId="57B78ADE" w14:textId="77777777" w:rsidR="00651D6B" w:rsidRDefault="00651D6B" w:rsidP="00E26D05">
            <w:pPr>
              <w:rPr>
                <w:b/>
                <w:bCs/>
                <w:sz w:val="20"/>
                <w:szCs w:val="20"/>
              </w:rPr>
            </w:pPr>
            <w:r>
              <w:rPr>
                <w:b/>
                <w:bCs/>
                <w:sz w:val="20"/>
                <w:szCs w:val="20"/>
              </w:rPr>
              <w:lastRenderedPageBreak/>
              <w:t>Account Statement Rule</w:t>
            </w:r>
          </w:p>
          <w:p w14:paraId="375751DF" w14:textId="77777777" w:rsidR="00651D6B" w:rsidRDefault="00651D6B" w:rsidP="00E26D05">
            <w:pPr>
              <w:rPr>
                <w:b/>
                <w:bCs/>
                <w:sz w:val="20"/>
                <w:szCs w:val="20"/>
              </w:rPr>
            </w:pPr>
            <w:r w:rsidRPr="00F83212">
              <w:rPr>
                <w:sz w:val="20"/>
                <w:szCs w:val="20"/>
              </w:rPr>
              <w:t>A broker</w:t>
            </w:r>
            <w:r>
              <w:rPr>
                <w:sz w:val="20"/>
                <w:szCs w:val="20"/>
              </w:rPr>
              <w:t>-</w:t>
            </w:r>
            <w:r w:rsidRPr="00F83212">
              <w:rPr>
                <w:sz w:val="20"/>
                <w:szCs w:val="20"/>
              </w:rPr>
              <w:t xml:space="preserve">dealer </w:t>
            </w:r>
            <w:r>
              <w:rPr>
                <w:sz w:val="20"/>
                <w:szCs w:val="20"/>
              </w:rPr>
              <w:t>may be exempted by FINRA from the provisions of this Rule for good cause shown</w:t>
            </w:r>
          </w:p>
        </w:tc>
        <w:tc>
          <w:tcPr>
            <w:tcW w:w="3060" w:type="dxa"/>
          </w:tcPr>
          <w:p w14:paraId="2BECAF14" w14:textId="77777777" w:rsidR="00651D6B" w:rsidRPr="00F83212" w:rsidRDefault="00651D6B" w:rsidP="00E26D05">
            <w:pPr>
              <w:pStyle w:val="Default"/>
              <w:rPr>
                <w:rFonts w:asciiTheme="minorHAnsi" w:hAnsiTheme="minorHAnsi" w:cstheme="minorHAnsi"/>
                <w:i/>
                <w:iCs/>
                <w:sz w:val="20"/>
                <w:szCs w:val="20"/>
              </w:rPr>
            </w:pPr>
            <w:r w:rsidRPr="00F83212">
              <w:rPr>
                <w:rFonts w:asciiTheme="minorHAnsi" w:hAnsiTheme="minorHAnsi" w:cstheme="minorHAnsi"/>
                <w:i/>
                <w:iCs/>
                <w:sz w:val="20"/>
                <w:szCs w:val="20"/>
              </w:rPr>
              <w:t xml:space="preserve">FINRA Rule 2231 Customer Account Statements para </w:t>
            </w:r>
            <w:r w:rsidRPr="00AF59D7">
              <w:rPr>
                <w:rFonts w:asciiTheme="minorHAnsi" w:hAnsiTheme="minorHAnsi" w:cstheme="minorHAnsi"/>
                <w:i/>
                <w:iCs/>
                <w:sz w:val="20"/>
                <w:szCs w:val="20"/>
              </w:rPr>
              <w:t>(e) Exemptions</w:t>
            </w:r>
          </w:p>
        </w:tc>
        <w:tc>
          <w:tcPr>
            <w:tcW w:w="2970" w:type="dxa"/>
          </w:tcPr>
          <w:p w14:paraId="32056EA7" w14:textId="77777777" w:rsidR="00651D6B" w:rsidRDefault="00651D6B" w:rsidP="00651D6B">
            <w:pPr>
              <w:pStyle w:val="ListParagraph"/>
              <w:numPr>
                <w:ilvl w:val="0"/>
                <w:numId w:val="1"/>
              </w:numPr>
              <w:spacing w:after="240" w:line="240" w:lineRule="auto"/>
              <w:rPr>
                <w:sz w:val="18"/>
                <w:szCs w:val="18"/>
              </w:rPr>
            </w:pPr>
            <w:r>
              <w:rPr>
                <w:sz w:val="18"/>
                <w:szCs w:val="18"/>
              </w:rPr>
              <w:t>Risk that FINRA approvals were not received for exemptions of certain provisions.</w:t>
            </w:r>
          </w:p>
        </w:tc>
      </w:tr>
      <w:tr w:rsidR="00651D6B" w14:paraId="635AD3E9" w14:textId="77777777" w:rsidTr="00E26D05">
        <w:tc>
          <w:tcPr>
            <w:tcW w:w="3325" w:type="dxa"/>
          </w:tcPr>
          <w:p w14:paraId="71656D5A" w14:textId="77777777" w:rsidR="00651D6B" w:rsidRDefault="00651D6B" w:rsidP="00E26D05">
            <w:pPr>
              <w:rPr>
                <w:b/>
                <w:bCs/>
                <w:sz w:val="20"/>
                <w:szCs w:val="20"/>
              </w:rPr>
            </w:pPr>
            <w:r>
              <w:rPr>
                <w:b/>
                <w:bCs/>
                <w:sz w:val="20"/>
                <w:szCs w:val="20"/>
              </w:rPr>
              <w:t>Account Statement Rule</w:t>
            </w:r>
          </w:p>
          <w:p w14:paraId="5B211705" w14:textId="77777777" w:rsidR="00651D6B" w:rsidRDefault="00651D6B" w:rsidP="00E26D05">
            <w:pPr>
              <w:rPr>
                <w:b/>
                <w:bCs/>
                <w:sz w:val="20"/>
                <w:szCs w:val="20"/>
              </w:rPr>
            </w:pPr>
            <w:r w:rsidRPr="00F83212">
              <w:rPr>
                <w:sz w:val="20"/>
                <w:szCs w:val="20"/>
              </w:rPr>
              <w:t>A broker</w:t>
            </w:r>
            <w:r>
              <w:rPr>
                <w:sz w:val="20"/>
                <w:szCs w:val="20"/>
              </w:rPr>
              <w:t>-</w:t>
            </w:r>
            <w:r w:rsidRPr="00F83212">
              <w:rPr>
                <w:sz w:val="20"/>
                <w:szCs w:val="20"/>
              </w:rPr>
              <w:t xml:space="preserve">dealer </w:t>
            </w:r>
            <w:r>
              <w:rPr>
                <w:sz w:val="20"/>
                <w:szCs w:val="20"/>
              </w:rPr>
              <w:t>must have evidence to show delivery when customer statements are electronically delivered</w:t>
            </w:r>
          </w:p>
        </w:tc>
        <w:tc>
          <w:tcPr>
            <w:tcW w:w="3060" w:type="dxa"/>
          </w:tcPr>
          <w:p w14:paraId="1F7D0870" w14:textId="77777777" w:rsidR="00651D6B" w:rsidRPr="00F83212" w:rsidRDefault="00651D6B" w:rsidP="00E26D05">
            <w:pPr>
              <w:pStyle w:val="Default"/>
              <w:rPr>
                <w:rFonts w:asciiTheme="minorHAnsi" w:hAnsiTheme="minorHAnsi" w:cstheme="minorHAnsi"/>
                <w:i/>
                <w:iCs/>
                <w:sz w:val="20"/>
                <w:szCs w:val="20"/>
              </w:rPr>
            </w:pPr>
            <w:r w:rsidRPr="00AF59D7">
              <w:rPr>
                <w:rFonts w:asciiTheme="minorHAnsi" w:hAnsiTheme="minorHAnsi" w:cstheme="minorHAnsi"/>
                <w:i/>
                <w:iCs/>
                <w:sz w:val="20"/>
                <w:szCs w:val="20"/>
              </w:rPr>
              <w:t>NASD Notice to Members 98-3</w:t>
            </w:r>
          </w:p>
        </w:tc>
        <w:tc>
          <w:tcPr>
            <w:tcW w:w="2970" w:type="dxa"/>
          </w:tcPr>
          <w:p w14:paraId="1AB98090" w14:textId="77777777" w:rsidR="00651D6B" w:rsidRDefault="00651D6B" w:rsidP="00651D6B">
            <w:pPr>
              <w:pStyle w:val="ListParagraph"/>
              <w:numPr>
                <w:ilvl w:val="0"/>
                <w:numId w:val="1"/>
              </w:numPr>
              <w:spacing w:after="240" w:line="240" w:lineRule="auto"/>
              <w:rPr>
                <w:sz w:val="18"/>
                <w:szCs w:val="18"/>
              </w:rPr>
            </w:pPr>
            <w:r>
              <w:rPr>
                <w:sz w:val="18"/>
                <w:szCs w:val="18"/>
              </w:rPr>
              <w:t>The broker-dealer does not physically send customer statements without appropriately maintaining the customer’s consent to deliver through electronic medium.</w:t>
            </w:r>
          </w:p>
          <w:p w14:paraId="5985DFEA" w14:textId="77777777" w:rsidR="00651D6B" w:rsidRDefault="00651D6B" w:rsidP="00651D6B">
            <w:pPr>
              <w:pStyle w:val="ListParagraph"/>
              <w:numPr>
                <w:ilvl w:val="0"/>
                <w:numId w:val="1"/>
              </w:numPr>
              <w:spacing w:after="240" w:line="240" w:lineRule="auto"/>
              <w:rPr>
                <w:sz w:val="18"/>
                <w:szCs w:val="18"/>
              </w:rPr>
            </w:pPr>
            <w:r>
              <w:rPr>
                <w:sz w:val="18"/>
                <w:szCs w:val="18"/>
              </w:rPr>
              <w:t>Account statement availability notifications are not sent to customers with the frequency required by the Account Statement Rule when account statements are delivered to customers via online access to a website or portal.</w:t>
            </w:r>
          </w:p>
          <w:p w14:paraId="7FEBF868" w14:textId="77777777" w:rsidR="00651D6B" w:rsidRDefault="00651D6B" w:rsidP="00651D6B">
            <w:pPr>
              <w:pStyle w:val="ListParagraph"/>
              <w:numPr>
                <w:ilvl w:val="0"/>
                <w:numId w:val="1"/>
              </w:numPr>
              <w:spacing w:after="240" w:line="240" w:lineRule="auto"/>
              <w:rPr>
                <w:sz w:val="18"/>
                <w:szCs w:val="18"/>
              </w:rPr>
            </w:pPr>
            <w:r>
              <w:rPr>
                <w:sz w:val="18"/>
                <w:szCs w:val="18"/>
              </w:rPr>
              <w:t>Customers are unable to access account statements via online access to a website or portal because the customer does not have access to the website or portal.</w:t>
            </w:r>
          </w:p>
          <w:p w14:paraId="1AA5BD46" w14:textId="77777777" w:rsidR="00651D6B" w:rsidRDefault="00651D6B" w:rsidP="00651D6B">
            <w:pPr>
              <w:pStyle w:val="ListParagraph"/>
              <w:numPr>
                <w:ilvl w:val="0"/>
                <w:numId w:val="1"/>
              </w:numPr>
              <w:spacing w:after="240" w:line="240" w:lineRule="auto"/>
              <w:rPr>
                <w:sz w:val="18"/>
                <w:szCs w:val="18"/>
              </w:rPr>
            </w:pPr>
            <w:r>
              <w:rPr>
                <w:sz w:val="18"/>
                <w:szCs w:val="18"/>
              </w:rPr>
              <w:t>Customers are unable to access account statements via online access to a website or portal because the broker-dealer's website or portal is inappropriately configured to electronically deliver account statements as requested by the customer.</w:t>
            </w:r>
          </w:p>
        </w:tc>
      </w:tr>
    </w:tbl>
    <w:p w14:paraId="2E80754D" w14:textId="77777777" w:rsidR="00651D6B" w:rsidRDefault="00651D6B" w:rsidP="00651D6B"/>
    <w:p w14:paraId="5BCD581B" w14:textId="77777777" w:rsidR="00651D6B" w:rsidRDefault="00651D6B">
      <w:pPr>
        <w:rPr>
          <w:rFonts w:ascii="Roboto" w:hAnsi="Roboto"/>
          <w:color w:val="000000"/>
          <w:sz w:val="27"/>
          <w:szCs w:val="27"/>
          <w:shd w:val="clear" w:color="auto" w:fill="FFFFFF"/>
        </w:rPr>
      </w:pPr>
    </w:p>
    <w:sectPr w:rsidR="00651D6B" w:rsidSect="00651D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F480" w14:textId="77777777" w:rsidR="00D75E41" w:rsidRDefault="00D75E41" w:rsidP="00651D6B">
      <w:pPr>
        <w:spacing w:after="0" w:line="240" w:lineRule="auto"/>
      </w:pPr>
      <w:r>
        <w:separator/>
      </w:r>
    </w:p>
  </w:endnote>
  <w:endnote w:type="continuationSeparator" w:id="0">
    <w:p w14:paraId="21F2B050" w14:textId="77777777" w:rsidR="00D75E41" w:rsidRDefault="00D75E41" w:rsidP="0065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00322"/>
      <w:docPartObj>
        <w:docPartGallery w:val="Page Numbers (Bottom of Page)"/>
        <w:docPartUnique/>
      </w:docPartObj>
    </w:sdtPr>
    <w:sdtEndPr>
      <w:rPr>
        <w:noProof/>
      </w:rPr>
    </w:sdtEndPr>
    <w:sdtContent>
      <w:p w14:paraId="02C770FC" w14:textId="7414FCB7" w:rsidR="00651D6B" w:rsidRDefault="00651D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FE7BC" w14:textId="77777777" w:rsidR="00651D6B" w:rsidRDefault="0065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F0A4" w14:textId="77777777" w:rsidR="00D75E41" w:rsidRDefault="00D75E41" w:rsidP="00651D6B">
      <w:pPr>
        <w:spacing w:after="0" w:line="240" w:lineRule="auto"/>
      </w:pPr>
      <w:r>
        <w:separator/>
      </w:r>
    </w:p>
  </w:footnote>
  <w:footnote w:type="continuationSeparator" w:id="0">
    <w:p w14:paraId="7EC27087" w14:textId="77777777" w:rsidR="00D75E41" w:rsidRDefault="00D75E41" w:rsidP="00651D6B">
      <w:pPr>
        <w:spacing w:after="0" w:line="240" w:lineRule="auto"/>
      </w:pPr>
      <w:r>
        <w:continuationSeparator/>
      </w:r>
    </w:p>
  </w:footnote>
  <w:footnote w:id="1">
    <w:p w14:paraId="1120D4C8" w14:textId="77777777" w:rsidR="00651D6B" w:rsidRDefault="00651D6B" w:rsidP="008578D1">
      <w:pPr>
        <w:pStyle w:val="FootnoteText"/>
        <w:ind w:right="1440"/>
      </w:pPr>
      <w:r>
        <w:rPr>
          <w:rStyle w:val="FootnoteReference"/>
        </w:rPr>
        <w:footnoteRef/>
      </w:r>
      <w:r>
        <w:t xml:space="preserve"> </w:t>
      </w:r>
      <w:r>
        <w:tab/>
        <w:t>The compliance risk points included in this section are illustrative only.  There are numerous compliance risks not listed in this section and a firm should not rely on the risk points described here as comprehensive when [preparing or] examining a broker-dealer’s statements regarding its internal control over 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417"/>
    <w:multiLevelType w:val="multilevel"/>
    <w:tmpl w:val="3C808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763AB9"/>
    <w:multiLevelType w:val="hybridMultilevel"/>
    <w:tmpl w:val="354C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7D6473"/>
    <w:multiLevelType w:val="hybridMultilevel"/>
    <w:tmpl w:val="A962B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D2242C9"/>
    <w:multiLevelType w:val="multilevel"/>
    <w:tmpl w:val="D4C4229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B"/>
    <w:rsid w:val="00024977"/>
    <w:rsid w:val="0022685F"/>
    <w:rsid w:val="00356C74"/>
    <w:rsid w:val="004039E1"/>
    <w:rsid w:val="004673AB"/>
    <w:rsid w:val="00643CDF"/>
    <w:rsid w:val="00651D6B"/>
    <w:rsid w:val="00660F20"/>
    <w:rsid w:val="00706C37"/>
    <w:rsid w:val="008578D1"/>
    <w:rsid w:val="00CD290A"/>
    <w:rsid w:val="00CE1406"/>
    <w:rsid w:val="00CF40C8"/>
    <w:rsid w:val="00D551C2"/>
    <w:rsid w:val="00D75E41"/>
    <w:rsid w:val="00DD4A94"/>
    <w:rsid w:val="00E80B19"/>
    <w:rsid w:val="00EC0781"/>
    <w:rsid w:val="00F9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660B"/>
  <w15:chartTrackingRefBased/>
  <w15:docId w15:val="{CDA90D62-ABEA-4976-A457-323D989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6B"/>
  </w:style>
  <w:style w:type="paragraph" w:styleId="Footer">
    <w:name w:val="footer"/>
    <w:basedOn w:val="Normal"/>
    <w:link w:val="FooterChar"/>
    <w:uiPriority w:val="99"/>
    <w:unhideWhenUsed/>
    <w:rsid w:val="0065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6B"/>
  </w:style>
  <w:style w:type="table" w:styleId="TableGrid">
    <w:name w:val="Table Grid"/>
    <w:basedOn w:val="TableNormal"/>
    <w:uiPriority w:val="39"/>
    <w:rsid w:val="0065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D6B"/>
    <w:pPr>
      <w:spacing w:line="256" w:lineRule="auto"/>
      <w:ind w:left="720"/>
      <w:contextualSpacing/>
    </w:pPr>
  </w:style>
  <w:style w:type="paragraph" w:customStyle="1" w:styleId="Default">
    <w:name w:val="Default"/>
    <w:rsid w:val="00651D6B"/>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651D6B"/>
    <w:pPr>
      <w:spacing w:line="240" w:lineRule="auto"/>
    </w:pPr>
    <w:rPr>
      <w:sz w:val="20"/>
      <w:szCs w:val="20"/>
    </w:rPr>
  </w:style>
  <w:style w:type="character" w:customStyle="1" w:styleId="CommentTextChar">
    <w:name w:val="Comment Text Char"/>
    <w:basedOn w:val="DefaultParagraphFont"/>
    <w:link w:val="CommentText"/>
    <w:uiPriority w:val="99"/>
    <w:rsid w:val="00651D6B"/>
    <w:rPr>
      <w:sz w:val="20"/>
      <w:szCs w:val="20"/>
    </w:rPr>
  </w:style>
  <w:style w:type="character" w:customStyle="1" w:styleId="paragraph100">
    <w:name w:val="paragraph100"/>
    <w:basedOn w:val="DefaultParagraphFont"/>
    <w:rsid w:val="00651D6B"/>
    <w:rPr>
      <w:rFonts w:ascii="Verdana" w:hAnsi="Verdana" w:hint="default"/>
      <w:vanish w:val="0"/>
      <w:webHidden w:val="0"/>
      <w:specVanish w:val="0"/>
    </w:rPr>
  </w:style>
  <w:style w:type="character" w:customStyle="1" w:styleId="paragraph2">
    <w:name w:val="paragraph2"/>
    <w:basedOn w:val="DefaultParagraphFont"/>
    <w:rsid w:val="00651D6B"/>
    <w:rPr>
      <w:rFonts w:ascii="Arial" w:hAnsi="Arial" w:cs="Arial" w:hint="default"/>
      <w:vanish w:val="0"/>
      <w:webHidden w:val="0"/>
      <w:specVanish w:val="0"/>
    </w:rPr>
  </w:style>
  <w:style w:type="character" w:customStyle="1" w:styleId="paragraph110">
    <w:name w:val="paragraph110"/>
    <w:basedOn w:val="DefaultParagraphFont"/>
    <w:rsid w:val="00651D6B"/>
    <w:rPr>
      <w:rFonts w:ascii="Verdana" w:hAnsi="Verdana" w:hint="default"/>
      <w:vanish w:val="0"/>
      <w:webHidden w:val="0"/>
      <w:specVanish w:val="0"/>
    </w:rPr>
  </w:style>
  <w:style w:type="character" w:customStyle="1" w:styleId="paragraph111">
    <w:name w:val="paragraph111"/>
    <w:basedOn w:val="DefaultParagraphFont"/>
    <w:rsid w:val="00651D6B"/>
    <w:rPr>
      <w:rFonts w:ascii="Verdana" w:hAnsi="Verdana" w:hint="default"/>
      <w:vanish w:val="0"/>
      <w:webHidden w:val="0"/>
      <w:specVanish w:val="0"/>
    </w:rPr>
  </w:style>
  <w:style w:type="character" w:customStyle="1" w:styleId="paragraph122">
    <w:name w:val="paragraph122"/>
    <w:basedOn w:val="DefaultParagraphFont"/>
    <w:rsid w:val="00651D6B"/>
    <w:rPr>
      <w:rFonts w:ascii="Verdana" w:hAnsi="Verdana" w:hint="default"/>
      <w:vanish w:val="0"/>
      <w:webHidden w:val="0"/>
      <w:specVanish w:val="0"/>
    </w:rPr>
  </w:style>
  <w:style w:type="character" w:customStyle="1" w:styleId="paragraph121">
    <w:name w:val="paragraph121"/>
    <w:basedOn w:val="DefaultParagraphFont"/>
    <w:rsid w:val="00651D6B"/>
    <w:rPr>
      <w:rFonts w:ascii="Verdana" w:hAnsi="Verdana" w:hint="default"/>
      <w:vanish w:val="0"/>
      <w:webHidden w:val="0"/>
      <w:specVanish w:val="0"/>
    </w:rPr>
  </w:style>
  <w:style w:type="character" w:customStyle="1" w:styleId="paragraph123">
    <w:name w:val="paragraph123"/>
    <w:basedOn w:val="DefaultParagraphFont"/>
    <w:rsid w:val="00651D6B"/>
    <w:rPr>
      <w:rFonts w:ascii="Verdana" w:hAnsi="Verdana" w:hint="default"/>
      <w:vanish w:val="0"/>
      <w:webHidden w:val="0"/>
      <w:specVanish w:val="0"/>
    </w:rPr>
  </w:style>
  <w:style w:type="paragraph" w:styleId="FootnoteText">
    <w:name w:val="footnote text"/>
    <w:basedOn w:val="Normal"/>
    <w:link w:val="FootnoteTextChar"/>
    <w:uiPriority w:val="99"/>
    <w:semiHidden/>
    <w:unhideWhenUsed/>
    <w:rsid w:val="00651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D6B"/>
    <w:rPr>
      <w:sz w:val="20"/>
      <w:szCs w:val="20"/>
    </w:rPr>
  </w:style>
  <w:style w:type="character" w:styleId="FootnoteReference">
    <w:name w:val="footnote reference"/>
    <w:basedOn w:val="DefaultParagraphFont"/>
    <w:uiPriority w:val="99"/>
    <w:semiHidden/>
    <w:unhideWhenUsed/>
    <w:rsid w:val="00651D6B"/>
    <w:rPr>
      <w:vertAlign w:val="superscript"/>
    </w:rPr>
  </w:style>
  <w:style w:type="character" w:styleId="CommentReference">
    <w:name w:val="annotation reference"/>
    <w:basedOn w:val="DefaultParagraphFont"/>
    <w:uiPriority w:val="99"/>
    <w:semiHidden/>
    <w:unhideWhenUsed/>
    <w:rsid w:val="00643CDF"/>
    <w:rPr>
      <w:sz w:val="16"/>
      <w:szCs w:val="16"/>
    </w:rPr>
  </w:style>
  <w:style w:type="paragraph" w:styleId="CommentSubject">
    <w:name w:val="annotation subject"/>
    <w:basedOn w:val="CommentText"/>
    <w:next w:val="CommentText"/>
    <w:link w:val="CommentSubjectChar"/>
    <w:uiPriority w:val="99"/>
    <w:semiHidden/>
    <w:unhideWhenUsed/>
    <w:rsid w:val="00643CDF"/>
    <w:rPr>
      <w:b/>
      <w:bCs/>
    </w:rPr>
  </w:style>
  <w:style w:type="character" w:customStyle="1" w:styleId="CommentSubjectChar">
    <w:name w:val="Comment Subject Char"/>
    <w:basedOn w:val="CommentTextChar"/>
    <w:link w:val="CommentSubject"/>
    <w:uiPriority w:val="99"/>
    <w:semiHidden/>
    <w:rsid w:val="00643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5165</Words>
  <Characters>29446</Characters>
  <Application>Microsoft Office Word</Application>
  <DocSecurity>4</DocSecurity>
  <Lines>245</Lines>
  <Paragraphs>69</Paragraphs>
  <ScaleCrop>false</ScaleCrop>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Macey</dc:creator>
  <cp:keywords/>
  <dc:description/>
  <cp:lastModifiedBy>Sharon Macey</cp:lastModifiedBy>
  <cp:revision>2</cp:revision>
  <dcterms:created xsi:type="dcterms:W3CDTF">2022-12-15T19:15:00Z</dcterms:created>
  <dcterms:modified xsi:type="dcterms:W3CDTF">2022-12-15T19:15:00Z</dcterms:modified>
</cp:coreProperties>
</file>