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6" w:type="dxa"/>
          <w:right w:w="86" w:type="dxa"/>
        </w:tblCellMar>
        <w:tblLook w:val="04A0" w:firstRow="1" w:lastRow="0" w:firstColumn="1" w:lastColumn="0" w:noHBand="0" w:noVBand="1"/>
      </w:tblPr>
      <w:tblGrid>
        <w:gridCol w:w="5598"/>
        <w:gridCol w:w="5310"/>
      </w:tblGrid>
      <w:tr w:rsidR="00037E42" w14:paraId="2E17CBE7" w14:textId="77777777" w:rsidTr="009A3FAD">
        <w:trPr>
          <w:cantSplit/>
          <w:trHeight w:hRule="exact" w:val="90"/>
        </w:trPr>
        <w:tc>
          <w:tcPr>
            <w:tcW w:w="5598" w:type="dxa"/>
          </w:tcPr>
          <w:p w14:paraId="57DAE154" w14:textId="77777777" w:rsidR="00037E42" w:rsidRDefault="00037E42" w:rsidP="009C48DE">
            <w:pPr>
              <w:tabs>
                <w:tab w:val="left" w:pos="360"/>
                <w:tab w:val="left" w:pos="720"/>
                <w:tab w:val="left" w:pos="1080"/>
                <w:tab w:val="left" w:pos="1440"/>
                <w:tab w:val="left" w:pos="1800"/>
              </w:tabs>
              <w:jc w:val="right"/>
              <w:rPr>
                <w:sz w:val="18"/>
              </w:rPr>
            </w:pPr>
            <w:bookmarkStart w:id="0" w:name="_GoBack"/>
            <w:bookmarkEnd w:id="0"/>
          </w:p>
        </w:tc>
        <w:tc>
          <w:tcPr>
            <w:tcW w:w="5310" w:type="dxa"/>
          </w:tcPr>
          <w:p w14:paraId="03033BBF" w14:textId="77777777" w:rsidR="00037E42" w:rsidRPr="00961EF3" w:rsidRDefault="00037E42" w:rsidP="009C48DE">
            <w:pPr>
              <w:pStyle w:val="TISDate"/>
              <w:tabs>
                <w:tab w:val="left" w:pos="360"/>
                <w:tab w:val="left" w:pos="720"/>
                <w:tab w:val="left" w:pos="1080"/>
                <w:tab w:val="left" w:pos="1440"/>
                <w:tab w:val="left" w:pos="1800"/>
              </w:tabs>
              <w:rPr>
                <w:rStyle w:val="IntenseReference"/>
              </w:rPr>
            </w:pPr>
            <w:r w:rsidRPr="00961EF3">
              <w:rPr>
                <w:rStyle w:val="IntenseReference"/>
              </w:rPr>
              <w:tab/>
            </w:r>
            <w:r w:rsidRPr="00961EF3">
              <w:rPr>
                <w:rStyle w:val="IntenseReference"/>
              </w:rPr>
              <w:tab/>
            </w:r>
          </w:p>
        </w:tc>
      </w:tr>
      <w:tr w:rsidR="0025290C" w14:paraId="2EA42063" w14:textId="77777777" w:rsidTr="001241E8">
        <w:trPr>
          <w:cantSplit/>
          <w:trHeight w:hRule="exact" w:val="1791"/>
        </w:trPr>
        <w:tc>
          <w:tcPr>
            <w:tcW w:w="10908" w:type="dxa"/>
            <w:gridSpan w:val="2"/>
          </w:tcPr>
          <w:p w14:paraId="3E5A70BF" w14:textId="2BA4F9CA" w:rsidR="001241E8" w:rsidRPr="00604206" w:rsidRDefault="001241E8" w:rsidP="00390F88">
            <w:pPr>
              <w:tabs>
                <w:tab w:val="left" w:pos="360"/>
                <w:tab w:val="left" w:pos="720"/>
                <w:tab w:val="left" w:pos="1080"/>
                <w:tab w:val="left" w:pos="1440"/>
                <w:tab w:val="left" w:pos="1800"/>
              </w:tabs>
              <w:spacing w:before="40"/>
              <w:jc w:val="right"/>
              <w:rPr>
                <w:rFonts w:ascii="Avenir 55 Roman" w:hAnsi="Avenir 55 Roman" w:cs="Avenir-Roman"/>
                <w:color w:val="9FA618"/>
                <w:sz w:val="34"/>
                <w:szCs w:val="34"/>
              </w:rPr>
            </w:pPr>
            <w:r>
              <w:rPr>
                <w:rStyle w:val="TISCatagoryChar"/>
                <w:rFonts w:ascii="Avenir 55 Roman" w:hAnsi="Avenir 55 Roman"/>
                <w:color w:val="9FA618"/>
                <w:sz w:val="34"/>
                <w:szCs w:val="34"/>
              </w:rPr>
              <w:t>Financial Reporting Center</w:t>
            </w:r>
            <w:r w:rsidR="003C5B34">
              <w:rPr>
                <w:rStyle w:val="TISCatagoryChar"/>
                <w:rFonts w:ascii="Avenir 55 Roman" w:hAnsi="Avenir 55 Roman"/>
                <w:color w:val="9FA618"/>
                <w:sz w:val="34"/>
                <w:szCs w:val="34"/>
              </w:rPr>
              <w:t xml:space="preserve"> </w:t>
            </w:r>
          </w:p>
        </w:tc>
      </w:tr>
      <w:tr w:rsidR="00037E42" w14:paraId="23E6C050" w14:textId="77777777" w:rsidTr="00D26E48">
        <w:trPr>
          <w:cantSplit/>
          <w:trHeight w:val="3600"/>
        </w:trPr>
        <w:tc>
          <w:tcPr>
            <w:tcW w:w="5598" w:type="dxa"/>
          </w:tcPr>
          <w:p w14:paraId="36F9EE51" w14:textId="219F42A8" w:rsidR="00037E42" w:rsidRPr="005F1052" w:rsidRDefault="00390F88" w:rsidP="005B52B1">
            <w:pPr>
              <w:pStyle w:val="TISSubtitle"/>
              <w:tabs>
                <w:tab w:val="left" w:pos="360"/>
                <w:tab w:val="left" w:pos="720"/>
                <w:tab w:val="left" w:pos="1080"/>
                <w:tab w:val="left" w:pos="1440"/>
                <w:tab w:val="left" w:pos="1800"/>
              </w:tabs>
              <w:rPr>
                <w:sz w:val="18"/>
              </w:rPr>
            </w:pPr>
            <w:r w:rsidRPr="00390F88">
              <w:rPr>
                <w:iCs/>
                <w:sz w:val="44"/>
                <w:szCs w:val="48"/>
              </w:rPr>
              <w:t>How to Respond to a Comfort Letter/Third-Party Verification Request</w:t>
            </w:r>
          </w:p>
        </w:tc>
        <w:tc>
          <w:tcPr>
            <w:tcW w:w="5310" w:type="dxa"/>
          </w:tcPr>
          <w:p w14:paraId="2D3861CF" w14:textId="77777777" w:rsidR="00D4779D" w:rsidRDefault="00D4779D" w:rsidP="009C48DE">
            <w:pPr>
              <w:tabs>
                <w:tab w:val="left" w:pos="360"/>
                <w:tab w:val="left" w:pos="720"/>
                <w:tab w:val="left" w:pos="1080"/>
                <w:tab w:val="left" w:pos="1440"/>
                <w:tab w:val="left" w:pos="1800"/>
              </w:tabs>
              <w:jc w:val="right"/>
              <w:rPr>
                <w:sz w:val="18"/>
              </w:rPr>
            </w:pPr>
          </w:p>
          <w:p w14:paraId="670D0781" w14:textId="77777777" w:rsidR="00D4779D" w:rsidRDefault="00D4779D" w:rsidP="00D4779D">
            <w:pPr>
              <w:rPr>
                <w:sz w:val="18"/>
              </w:rPr>
            </w:pPr>
          </w:p>
          <w:p w14:paraId="79E5E0BD" w14:textId="77777777" w:rsidR="00D4779D" w:rsidRDefault="00D4779D" w:rsidP="00D4779D">
            <w:pPr>
              <w:rPr>
                <w:sz w:val="18"/>
              </w:rPr>
            </w:pPr>
          </w:p>
          <w:p w14:paraId="02EB9CB0" w14:textId="77777777" w:rsidR="00037E42" w:rsidRPr="00D4779D" w:rsidRDefault="00037E42" w:rsidP="00D4779D">
            <w:pPr>
              <w:jc w:val="center"/>
              <w:rPr>
                <w:sz w:val="18"/>
              </w:rPr>
            </w:pPr>
          </w:p>
        </w:tc>
      </w:tr>
      <w:tr w:rsidR="0025290C" w14:paraId="369E0367" w14:textId="77777777" w:rsidTr="00D26E48">
        <w:trPr>
          <w:cantSplit/>
          <w:trHeight w:hRule="exact" w:val="533"/>
        </w:trPr>
        <w:tc>
          <w:tcPr>
            <w:tcW w:w="5598" w:type="dxa"/>
          </w:tcPr>
          <w:p w14:paraId="666C95A1" w14:textId="77777777" w:rsidR="0025290C" w:rsidRPr="00037E42" w:rsidRDefault="0025290C" w:rsidP="009C48DE">
            <w:pPr>
              <w:tabs>
                <w:tab w:val="left" w:pos="360"/>
                <w:tab w:val="left" w:pos="720"/>
                <w:tab w:val="left" w:pos="1080"/>
                <w:tab w:val="left" w:pos="1440"/>
                <w:tab w:val="left" w:pos="1800"/>
              </w:tabs>
            </w:pPr>
          </w:p>
        </w:tc>
        <w:tc>
          <w:tcPr>
            <w:tcW w:w="5310" w:type="dxa"/>
          </w:tcPr>
          <w:p w14:paraId="6EB526CA" w14:textId="77777777" w:rsidR="0025290C" w:rsidRDefault="0025290C" w:rsidP="009C48DE">
            <w:pPr>
              <w:tabs>
                <w:tab w:val="left" w:pos="360"/>
                <w:tab w:val="left" w:pos="720"/>
                <w:tab w:val="left" w:pos="1080"/>
                <w:tab w:val="left" w:pos="1440"/>
                <w:tab w:val="left" w:pos="1800"/>
              </w:tabs>
              <w:rPr>
                <w:sz w:val="18"/>
              </w:rPr>
            </w:pPr>
          </w:p>
        </w:tc>
      </w:tr>
    </w:tbl>
    <w:p w14:paraId="66F54F2C" w14:textId="77777777" w:rsidR="009C48DE" w:rsidRDefault="00106CA2" w:rsidP="009C48DE">
      <w:pPr>
        <w:tabs>
          <w:tab w:val="left" w:pos="360"/>
          <w:tab w:val="left" w:pos="720"/>
          <w:tab w:val="left" w:pos="1080"/>
          <w:tab w:val="left" w:pos="1440"/>
          <w:tab w:val="left" w:pos="1800"/>
        </w:tabs>
        <w:spacing w:after="0" w:line="240" w:lineRule="auto"/>
        <w:jc w:val="right"/>
        <w:rPr>
          <w:noProof/>
        </w:rPr>
      </w:pPr>
      <w:r w:rsidRPr="00951D0F">
        <w:rPr>
          <w:noProof/>
          <w:sz w:val="18"/>
        </w:rPr>
        <w:drawing>
          <wp:anchor distT="0" distB="0" distL="114300" distR="114300" simplePos="0" relativeHeight="251658240" behindDoc="1" locked="1" layoutInCell="1" allowOverlap="1" wp14:anchorId="5A658252" wp14:editId="03455D55">
            <wp:simplePos x="0" y="0"/>
            <wp:positionH relativeFrom="page">
              <wp:posOffset>-1905</wp:posOffset>
            </wp:positionH>
            <wp:positionV relativeFrom="page">
              <wp:posOffset>0</wp:posOffset>
            </wp:positionV>
            <wp:extent cx="7809455" cy="3319272"/>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Imag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09455" cy="3319272"/>
                    </a:xfrm>
                    <a:prstGeom prst="rect">
                      <a:avLst/>
                    </a:prstGeom>
                  </pic:spPr>
                </pic:pic>
              </a:graphicData>
            </a:graphic>
            <wp14:sizeRelH relativeFrom="page">
              <wp14:pctWidth>0</wp14:pctWidth>
            </wp14:sizeRelH>
            <wp14:sizeRelV relativeFrom="page">
              <wp14:pctHeight>0</wp14:pctHeight>
            </wp14:sizeRelV>
          </wp:anchor>
        </w:drawing>
      </w:r>
    </w:p>
    <w:p w14:paraId="799E7FFE" w14:textId="6D43CBAD" w:rsidR="00390F88" w:rsidRPr="00390F88" w:rsidRDefault="00390F88" w:rsidP="00390F88">
      <w:pPr>
        <w:ind w:right="2254"/>
        <w:rPr>
          <w:rFonts w:ascii="Avenir 45 Book" w:hAnsi="Avenir 45 Book"/>
          <w:sz w:val="19"/>
          <w:szCs w:val="19"/>
        </w:rPr>
      </w:pPr>
      <w:r w:rsidRPr="00390F88">
        <w:rPr>
          <w:rFonts w:ascii="Avenir 45 Book" w:hAnsi="Avenir 45 Book"/>
          <w:sz w:val="19"/>
          <w:szCs w:val="19"/>
        </w:rPr>
        <w:t>“CPAs are often faced with requests for information from lenders and are not sure how to respond, but offering the right response can present a real service opportunity for your practice,” said Chuck Landes, CPA, Vice President, Professional Standards and Services with the American Institute of CPAs (AICPA). “While you cannot provide assurance on matters relating to solvency, you can provide a number of services to your clients with other types of responses or activities that address their particular situat</w:t>
      </w:r>
      <w:r>
        <w:rPr>
          <w:rFonts w:ascii="Avenir 45 Book" w:hAnsi="Avenir 45 Book"/>
          <w:sz w:val="19"/>
          <w:szCs w:val="19"/>
        </w:rPr>
        <w:t xml:space="preserve">ion.” </w:t>
      </w:r>
    </w:p>
    <w:p w14:paraId="50A133ED" w14:textId="77777777" w:rsidR="00390F88" w:rsidRPr="00390F88" w:rsidRDefault="00390F88" w:rsidP="00390F88">
      <w:pPr>
        <w:ind w:right="2254"/>
        <w:rPr>
          <w:rFonts w:ascii="Avenir 45 Book" w:hAnsi="Avenir 45 Book"/>
          <w:i/>
          <w:sz w:val="19"/>
          <w:szCs w:val="19"/>
        </w:rPr>
      </w:pPr>
      <w:r w:rsidRPr="00390F88">
        <w:rPr>
          <w:rFonts w:ascii="Avenir 45 Book" w:hAnsi="Avenir 45 Book"/>
          <w:i/>
          <w:sz w:val="19"/>
          <w:szCs w:val="19"/>
        </w:rPr>
        <w:t>Understanding Types of Requests</w:t>
      </w:r>
    </w:p>
    <w:p w14:paraId="071664E2" w14:textId="77910F2C" w:rsidR="00390F88" w:rsidRPr="00390F88" w:rsidRDefault="00390F88" w:rsidP="00390F88">
      <w:pPr>
        <w:ind w:right="2254"/>
        <w:rPr>
          <w:rFonts w:ascii="Avenir 45 Book" w:hAnsi="Avenir 45 Book"/>
          <w:sz w:val="19"/>
          <w:szCs w:val="19"/>
        </w:rPr>
      </w:pPr>
      <w:r w:rsidRPr="00390F88">
        <w:rPr>
          <w:rFonts w:ascii="Avenir 45 Book" w:hAnsi="Avenir 45 Book"/>
          <w:sz w:val="19"/>
          <w:szCs w:val="19"/>
        </w:rPr>
        <w:t>You may be asked to provide any number of verifications. Some frequent requests include verification of:</w:t>
      </w:r>
    </w:p>
    <w:p w14:paraId="0128D818" w14:textId="5C0661DA" w:rsidR="00390F88" w:rsidRPr="00390F88" w:rsidRDefault="00390F88" w:rsidP="001B6FA8">
      <w:pPr>
        <w:pStyle w:val="ListParagraph"/>
        <w:numPr>
          <w:ilvl w:val="0"/>
          <w:numId w:val="4"/>
        </w:numPr>
        <w:ind w:right="2254"/>
        <w:rPr>
          <w:rFonts w:ascii="Avenir 45 Book" w:hAnsi="Avenir 45 Book"/>
          <w:sz w:val="19"/>
          <w:szCs w:val="19"/>
        </w:rPr>
      </w:pPr>
      <w:r w:rsidRPr="00390F88">
        <w:rPr>
          <w:rFonts w:ascii="Avenir 45 Book" w:hAnsi="Avenir 45 Book"/>
          <w:sz w:val="19"/>
          <w:szCs w:val="19"/>
        </w:rPr>
        <w:t>Self-employment status</w:t>
      </w:r>
    </w:p>
    <w:p w14:paraId="16F6C7B8" w14:textId="74FD4834" w:rsidR="00390F88" w:rsidRPr="00390F88" w:rsidRDefault="00390F88" w:rsidP="001B6FA8">
      <w:pPr>
        <w:pStyle w:val="ListParagraph"/>
        <w:numPr>
          <w:ilvl w:val="0"/>
          <w:numId w:val="4"/>
        </w:numPr>
        <w:ind w:right="2254"/>
        <w:rPr>
          <w:rFonts w:ascii="Avenir 45 Book" w:hAnsi="Avenir 45 Book"/>
          <w:sz w:val="19"/>
          <w:szCs w:val="19"/>
        </w:rPr>
      </w:pPr>
      <w:r w:rsidRPr="00390F88">
        <w:rPr>
          <w:rFonts w:ascii="Avenir 45 Book" w:hAnsi="Avenir 45 Book"/>
          <w:sz w:val="19"/>
          <w:szCs w:val="19"/>
        </w:rPr>
        <w:t>Income</w:t>
      </w:r>
    </w:p>
    <w:p w14:paraId="14589DC3" w14:textId="70261C95" w:rsidR="00390F88" w:rsidRPr="00390F88" w:rsidRDefault="00390F88" w:rsidP="001B6FA8">
      <w:pPr>
        <w:pStyle w:val="ListParagraph"/>
        <w:numPr>
          <w:ilvl w:val="0"/>
          <w:numId w:val="4"/>
        </w:numPr>
        <w:ind w:right="2254"/>
        <w:rPr>
          <w:rFonts w:ascii="Avenir 45 Book" w:hAnsi="Avenir 45 Book"/>
          <w:sz w:val="19"/>
          <w:szCs w:val="19"/>
        </w:rPr>
      </w:pPr>
      <w:r w:rsidRPr="00390F88">
        <w:rPr>
          <w:rFonts w:ascii="Avenir 45 Book" w:hAnsi="Avenir 45 Book"/>
          <w:sz w:val="19"/>
          <w:szCs w:val="19"/>
        </w:rPr>
        <w:t>Number of employees</w:t>
      </w:r>
    </w:p>
    <w:p w14:paraId="26A8FE7F" w14:textId="5D80B5F1" w:rsidR="00390F88" w:rsidRPr="00390F88" w:rsidRDefault="00390F88" w:rsidP="001B6FA8">
      <w:pPr>
        <w:pStyle w:val="ListParagraph"/>
        <w:numPr>
          <w:ilvl w:val="0"/>
          <w:numId w:val="4"/>
        </w:numPr>
        <w:ind w:right="2254"/>
        <w:rPr>
          <w:rFonts w:ascii="Avenir 45 Book" w:hAnsi="Avenir 45 Book"/>
          <w:sz w:val="19"/>
          <w:szCs w:val="19"/>
        </w:rPr>
      </w:pPr>
      <w:r w:rsidRPr="00390F88">
        <w:rPr>
          <w:rFonts w:ascii="Avenir 45 Book" w:hAnsi="Avenir 45 Book"/>
          <w:sz w:val="19"/>
          <w:szCs w:val="19"/>
        </w:rPr>
        <w:t>Business ownership</w:t>
      </w:r>
    </w:p>
    <w:p w14:paraId="3C381641" w14:textId="55F41E58" w:rsidR="00390F88" w:rsidRPr="00390F88" w:rsidRDefault="00390F88" w:rsidP="001B6FA8">
      <w:pPr>
        <w:pStyle w:val="ListParagraph"/>
        <w:numPr>
          <w:ilvl w:val="0"/>
          <w:numId w:val="4"/>
        </w:numPr>
        <w:ind w:right="2254"/>
        <w:rPr>
          <w:rFonts w:ascii="Avenir 45 Book" w:hAnsi="Avenir 45 Book"/>
          <w:sz w:val="19"/>
          <w:szCs w:val="19"/>
        </w:rPr>
      </w:pPr>
      <w:r w:rsidRPr="00390F88">
        <w:rPr>
          <w:rFonts w:ascii="Avenir 45 Book" w:hAnsi="Avenir 45 Book"/>
          <w:sz w:val="19"/>
          <w:szCs w:val="19"/>
        </w:rPr>
        <w:t>Business profitability</w:t>
      </w:r>
    </w:p>
    <w:p w14:paraId="4EBAA214" w14:textId="6D17DBD6" w:rsidR="00390F88" w:rsidRPr="00390F88" w:rsidRDefault="00390F88" w:rsidP="001B6FA8">
      <w:pPr>
        <w:pStyle w:val="ListParagraph"/>
        <w:numPr>
          <w:ilvl w:val="0"/>
          <w:numId w:val="4"/>
        </w:numPr>
        <w:ind w:right="2254"/>
        <w:rPr>
          <w:rFonts w:ascii="Avenir 45 Book" w:hAnsi="Avenir 45 Book"/>
          <w:sz w:val="19"/>
          <w:szCs w:val="19"/>
        </w:rPr>
      </w:pPr>
      <w:r w:rsidRPr="00390F88">
        <w:rPr>
          <w:rFonts w:ascii="Avenir 45 Book" w:hAnsi="Avenir 45 Book"/>
          <w:sz w:val="19"/>
          <w:szCs w:val="19"/>
        </w:rPr>
        <w:t xml:space="preserve">Business sustainability </w:t>
      </w:r>
    </w:p>
    <w:p w14:paraId="68E8AF0E" w14:textId="7793BF27" w:rsidR="00390F88" w:rsidRPr="00390F88" w:rsidRDefault="00390F88" w:rsidP="001B6FA8">
      <w:pPr>
        <w:pStyle w:val="ListParagraph"/>
        <w:numPr>
          <w:ilvl w:val="0"/>
          <w:numId w:val="4"/>
        </w:numPr>
        <w:ind w:right="2254"/>
        <w:rPr>
          <w:rFonts w:ascii="Avenir 45 Book" w:hAnsi="Avenir 45 Book"/>
          <w:sz w:val="19"/>
          <w:szCs w:val="19"/>
        </w:rPr>
      </w:pPr>
      <w:r w:rsidRPr="00390F88">
        <w:rPr>
          <w:rFonts w:ascii="Avenir 45 Book" w:hAnsi="Avenir 45 Book"/>
          <w:sz w:val="19"/>
          <w:szCs w:val="19"/>
        </w:rPr>
        <w:t>Real estate purchase impact on business</w:t>
      </w:r>
    </w:p>
    <w:p w14:paraId="4190AB77" w14:textId="6EEC66A3" w:rsidR="00390F88" w:rsidRPr="00390F88" w:rsidRDefault="00390F88" w:rsidP="001B6FA8">
      <w:pPr>
        <w:pStyle w:val="ListParagraph"/>
        <w:numPr>
          <w:ilvl w:val="0"/>
          <w:numId w:val="4"/>
        </w:numPr>
        <w:ind w:right="2254"/>
        <w:rPr>
          <w:rFonts w:ascii="Avenir 45 Book" w:hAnsi="Avenir 45 Book"/>
          <w:sz w:val="19"/>
          <w:szCs w:val="19"/>
        </w:rPr>
      </w:pPr>
      <w:r w:rsidRPr="00390F88">
        <w:rPr>
          <w:rFonts w:ascii="Avenir 45 Book" w:hAnsi="Avenir 45 Book"/>
          <w:sz w:val="19"/>
          <w:szCs w:val="19"/>
        </w:rPr>
        <w:t>Business loan impact</w:t>
      </w:r>
    </w:p>
    <w:p w14:paraId="5FCDE82D" w14:textId="77777777" w:rsidR="00390F88" w:rsidRPr="00390F88" w:rsidRDefault="00390F88" w:rsidP="00390F88">
      <w:pPr>
        <w:ind w:right="2254"/>
        <w:rPr>
          <w:rFonts w:ascii="Avenir 45 Book" w:hAnsi="Avenir 45 Book"/>
          <w:sz w:val="19"/>
          <w:szCs w:val="19"/>
        </w:rPr>
      </w:pPr>
      <w:r w:rsidRPr="00390F88">
        <w:rPr>
          <w:rFonts w:ascii="Avenir 45 Book" w:hAnsi="Avenir 45 Book"/>
          <w:sz w:val="19"/>
          <w:szCs w:val="19"/>
        </w:rPr>
        <w:t xml:space="preserve">There are several ways a CPA can respond and not every response need be in the form of an attestation engagement. </w:t>
      </w:r>
    </w:p>
    <w:p w14:paraId="32197C0E" w14:textId="77777777" w:rsidR="00390F88" w:rsidRPr="00390F88" w:rsidRDefault="00390F88" w:rsidP="00390F88">
      <w:pPr>
        <w:ind w:right="2254"/>
        <w:rPr>
          <w:rFonts w:ascii="Avenir 45 Book" w:hAnsi="Avenir 45 Book"/>
          <w:i/>
          <w:sz w:val="19"/>
          <w:szCs w:val="19"/>
        </w:rPr>
      </w:pPr>
      <w:r w:rsidRPr="00390F88">
        <w:rPr>
          <w:rFonts w:ascii="Avenir 45 Book" w:hAnsi="Avenir 45 Book"/>
          <w:i/>
          <w:sz w:val="19"/>
          <w:szCs w:val="19"/>
        </w:rPr>
        <w:t>Determining the Proper Response</w:t>
      </w:r>
    </w:p>
    <w:p w14:paraId="16B8ED8B" w14:textId="77777777" w:rsidR="00390F88" w:rsidRPr="00390F88" w:rsidRDefault="00390F88" w:rsidP="00390F88">
      <w:pPr>
        <w:ind w:right="2254"/>
        <w:rPr>
          <w:rFonts w:ascii="Avenir 45 Book" w:hAnsi="Avenir 45 Book"/>
          <w:sz w:val="19"/>
          <w:szCs w:val="19"/>
        </w:rPr>
      </w:pPr>
      <w:r w:rsidRPr="00390F88">
        <w:rPr>
          <w:rFonts w:ascii="Avenir 45 Book" w:hAnsi="Avenir 45 Book"/>
          <w:sz w:val="19"/>
          <w:szCs w:val="19"/>
        </w:rPr>
        <w:t>A CPA may provide a response that states factual information and may provide a conclusion, assuming the CPA has performed sufficient procedures and has a basis for the response. A CPA may respond verbally or via email, form letter or other written channels. Additionally, an accountant may provide a client with these other options:</w:t>
      </w:r>
    </w:p>
    <w:p w14:paraId="254CB753" w14:textId="03E6BFD3" w:rsidR="00390F88" w:rsidRPr="00390F88" w:rsidRDefault="00390F88" w:rsidP="001B6FA8">
      <w:pPr>
        <w:pStyle w:val="ListParagraph"/>
        <w:numPr>
          <w:ilvl w:val="0"/>
          <w:numId w:val="4"/>
        </w:numPr>
        <w:ind w:right="2254"/>
        <w:rPr>
          <w:rFonts w:ascii="Avenir 45 Book" w:hAnsi="Avenir 45 Book"/>
          <w:sz w:val="19"/>
          <w:szCs w:val="19"/>
        </w:rPr>
      </w:pPr>
      <w:r w:rsidRPr="00390F88">
        <w:rPr>
          <w:rFonts w:ascii="Avenir 45 Book" w:hAnsi="Avenir 45 Book"/>
          <w:sz w:val="19"/>
          <w:szCs w:val="19"/>
        </w:rPr>
        <w:t>Prepare an audit, review or compilation of financial statements;</w:t>
      </w:r>
    </w:p>
    <w:p w14:paraId="0B21AF31" w14:textId="40416F05" w:rsidR="00390F88" w:rsidRPr="00390F88" w:rsidRDefault="00390F88" w:rsidP="001B6FA8">
      <w:pPr>
        <w:pStyle w:val="ListParagraph"/>
        <w:numPr>
          <w:ilvl w:val="0"/>
          <w:numId w:val="4"/>
        </w:numPr>
        <w:ind w:right="2254"/>
        <w:rPr>
          <w:rFonts w:ascii="Avenir 45 Book" w:hAnsi="Avenir 45 Book"/>
          <w:sz w:val="19"/>
          <w:szCs w:val="19"/>
        </w:rPr>
      </w:pPr>
      <w:r w:rsidRPr="00390F88">
        <w:rPr>
          <w:rFonts w:ascii="Avenir 45 Book" w:hAnsi="Avenir 45 Book"/>
          <w:sz w:val="19"/>
          <w:szCs w:val="19"/>
        </w:rPr>
        <w:t>Offer an examination, review or compilation of pro forma financial information;</w:t>
      </w:r>
    </w:p>
    <w:p w14:paraId="264A9B95" w14:textId="555E0E85" w:rsidR="00390F88" w:rsidRPr="00390F88" w:rsidRDefault="00390F88" w:rsidP="001B6FA8">
      <w:pPr>
        <w:pStyle w:val="ListParagraph"/>
        <w:numPr>
          <w:ilvl w:val="0"/>
          <w:numId w:val="4"/>
        </w:numPr>
        <w:ind w:right="2254"/>
        <w:rPr>
          <w:rFonts w:ascii="Avenir 45 Book" w:hAnsi="Avenir 45 Book"/>
          <w:sz w:val="19"/>
          <w:szCs w:val="19"/>
        </w:rPr>
      </w:pPr>
      <w:r w:rsidRPr="00390F88">
        <w:rPr>
          <w:rFonts w:ascii="Avenir 45 Book" w:hAnsi="Avenir 45 Book"/>
          <w:sz w:val="19"/>
          <w:szCs w:val="19"/>
        </w:rPr>
        <w:t>Supply an examination or compilation of prospective financial information; or</w:t>
      </w:r>
    </w:p>
    <w:p w14:paraId="7557598E" w14:textId="0FB49242" w:rsidR="00390F88" w:rsidRPr="00390F88" w:rsidRDefault="00390F88" w:rsidP="001B6FA8">
      <w:pPr>
        <w:pStyle w:val="ListParagraph"/>
        <w:numPr>
          <w:ilvl w:val="0"/>
          <w:numId w:val="4"/>
        </w:numPr>
        <w:ind w:right="2254"/>
        <w:rPr>
          <w:rFonts w:ascii="Avenir 45 Book" w:hAnsi="Avenir 45 Book"/>
          <w:sz w:val="19"/>
          <w:szCs w:val="19"/>
        </w:rPr>
      </w:pPr>
      <w:r w:rsidRPr="00390F88">
        <w:rPr>
          <w:rFonts w:ascii="Avenir 45 Book" w:hAnsi="Avenir 45 Book"/>
          <w:sz w:val="19"/>
          <w:szCs w:val="19"/>
        </w:rPr>
        <w:lastRenderedPageBreak/>
        <w:t xml:space="preserve">Write an agreed-upon procedures report, as long as the agreed-upon procedures do not provide any assurance on matters related to solvency. </w:t>
      </w:r>
    </w:p>
    <w:p w14:paraId="0EAFCE62" w14:textId="62FF6643" w:rsidR="00390F88" w:rsidRPr="00390F88" w:rsidRDefault="00390F88" w:rsidP="00390F88">
      <w:pPr>
        <w:ind w:right="2254"/>
        <w:rPr>
          <w:rFonts w:ascii="Avenir 45 Book" w:hAnsi="Avenir 45 Book"/>
          <w:sz w:val="19"/>
          <w:szCs w:val="19"/>
        </w:rPr>
      </w:pPr>
      <w:r w:rsidRPr="00390F88">
        <w:rPr>
          <w:rFonts w:ascii="Avenir 45 Book" w:hAnsi="Avenir 45 Book"/>
          <w:sz w:val="19"/>
          <w:szCs w:val="19"/>
        </w:rPr>
        <w:t>For example, some CPAs are receiving requests from bank lenders on verification of financial information from a tax return. Without providing assurance on matters relating to solvency, CPAs can respond to such request</w:t>
      </w:r>
      <w:r>
        <w:rPr>
          <w:rFonts w:ascii="Avenir 45 Book" w:hAnsi="Avenir 45 Book"/>
          <w:sz w:val="19"/>
          <w:szCs w:val="19"/>
        </w:rPr>
        <w:t>s in a number of ways, such as:</w:t>
      </w:r>
    </w:p>
    <w:p w14:paraId="098D381B" w14:textId="6A296947" w:rsidR="00390F88" w:rsidRPr="00390F88" w:rsidRDefault="00390F88" w:rsidP="001B6FA8">
      <w:pPr>
        <w:pStyle w:val="ListParagraph"/>
        <w:numPr>
          <w:ilvl w:val="0"/>
          <w:numId w:val="5"/>
        </w:numPr>
        <w:ind w:right="2254"/>
        <w:rPr>
          <w:rFonts w:ascii="Avenir 45 Book" w:hAnsi="Avenir 45 Book"/>
          <w:sz w:val="19"/>
          <w:szCs w:val="19"/>
        </w:rPr>
      </w:pPr>
      <w:r w:rsidRPr="00390F88">
        <w:rPr>
          <w:rFonts w:ascii="Avenir 45 Book" w:hAnsi="Avenir 45 Book"/>
          <w:sz w:val="19"/>
          <w:szCs w:val="19"/>
        </w:rPr>
        <w:t xml:space="preserve">By providing a letter explaining that the CPA prepared the tax return—based on information provided by the client—and that such financial information agrees with the tax return prepared by the CPA.  </w:t>
      </w:r>
    </w:p>
    <w:p w14:paraId="09AE279F" w14:textId="7140986E" w:rsidR="00390F88" w:rsidRPr="00390F88" w:rsidRDefault="00390F88" w:rsidP="001B6FA8">
      <w:pPr>
        <w:pStyle w:val="ListParagraph"/>
        <w:numPr>
          <w:ilvl w:val="0"/>
          <w:numId w:val="5"/>
        </w:numPr>
        <w:ind w:right="2254"/>
        <w:rPr>
          <w:rFonts w:ascii="Avenir 45 Book" w:hAnsi="Avenir 45 Book"/>
          <w:sz w:val="19"/>
          <w:szCs w:val="19"/>
        </w:rPr>
      </w:pPr>
      <w:r w:rsidRPr="00390F88">
        <w:rPr>
          <w:rFonts w:ascii="Avenir 45 Book" w:hAnsi="Avenir 45 Book"/>
          <w:sz w:val="19"/>
          <w:szCs w:val="19"/>
        </w:rPr>
        <w:t>By performing an attest engagement for the client based on the level of assurance needed by the lender.</w:t>
      </w:r>
    </w:p>
    <w:p w14:paraId="2B22E65B" w14:textId="77777777" w:rsidR="00390F88" w:rsidRPr="00390F88" w:rsidRDefault="00390F88" w:rsidP="00390F88">
      <w:pPr>
        <w:ind w:right="2254"/>
        <w:rPr>
          <w:rFonts w:ascii="Avenir 45 Book" w:hAnsi="Avenir 45 Book"/>
          <w:sz w:val="19"/>
          <w:szCs w:val="19"/>
        </w:rPr>
      </w:pPr>
      <w:r w:rsidRPr="00390F88">
        <w:rPr>
          <w:rFonts w:ascii="Avenir 45 Book" w:hAnsi="Avenir 45 Book"/>
          <w:sz w:val="19"/>
          <w:szCs w:val="19"/>
        </w:rPr>
        <w:t xml:space="preserve">Another example may involve a request for self-employment verification, in which case, the CPA may respond by performing an engagement to gather and provide the requested information for the client or, if more assurance is needed, an examination or review engagement.   </w:t>
      </w:r>
    </w:p>
    <w:p w14:paraId="1D6DF69C" w14:textId="77777777" w:rsidR="00390F88" w:rsidRPr="00390F88" w:rsidRDefault="00390F88" w:rsidP="00390F88">
      <w:pPr>
        <w:ind w:right="2254"/>
        <w:rPr>
          <w:rFonts w:ascii="Avenir 45 Book" w:hAnsi="Avenir 45 Book"/>
          <w:i/>
          <w:sz w:val="19"/>
          <w:szCs w:val="19"/>
        </w:rPr>
      </w:pPr>
      <w:r w:rsidRPr="00390F88">
        <w:rPr>
          <w:rFonts w:ascii="Avenir 45 Book" w:hAnsi="Avenir 45 Book"/>
          <w:i/>
          <w:sz w:val="19"/>
          <w:szCs w:val="19"/>
        </w:rPr>
        <w:t xml:space="preserve">The Question of Solvency </w:t>
      </w:r>
    </w:p>
    <w:p w14:paraId="28A39040" w14:textId="07A7358C" w:rsidR="00390F88" w:rsidRPr="00390F88" w:rsidRDefault="00390F88" w:rsidP="00390F88">
      <w:pPr>
        <w:ind w:right="2254"/>
        <w:rPr>
          <w:rFonts w:ascii="Avenir 45 Book" w:hAnsi="Avenir 45 Book"/>
          <w:sz w:val="19"/>
          <w:szCs w:val="19"/>
        </w:rPr>
      </w:pPr>
      <w:r w:rsidRPr="00390F88">
        <w:rPr>
          <w:rFonts w:ascii="Avenir 45 Book" w:hAnsi="Avenir 45 Book"/>
          <w:sz w:val="19"/>
          <w:szCs w:val="19"/>
        </w:rPr>
        <w:t xml:space="preserve">According to </w:t>
      </w:r>
      <w:hyperlink r:id="rId12" w:history="1">
        <w:r w:rsidRPr="00390F88">
          <w:rPr>
            <w:rStyle w:val="Hyperlink"/>
            <w:rFonts w:ascii="Avenir 45 Book" w:hAnsi="Avenir 45 Book"/>
            <w:sz w:val="19"/>
            <w:szCs w:val="19"/>
          </w:rPr>
          <w:t>AT Section 9101, para</w:t>
        </w:r>
        <w:r>
          <w:rPr>
            <w:rStyle w:val="Hyperlink"/>
            <w:rFonts w:ascii="Avenir 45 Book" w:hAnsi="Avenir 45 Book"/>
            <w:sz w:val="19"/>
            <w:szCs w:val="19"/>
          </w:rPr>
          <w:t>graph .27 of Interpretation No.</w:t>
        </w:r>
        <w:r w:rsidRPr="00390F88">
          <w:rPr>
            <w:rStyle w:val="Hyperlink"/>
            <w:rFonts w:ascii="Avenir 45 Book" w:hAnsi="Avenir 45 Book"/>
            <w:sz w:val="19"/>
            <w:szCs w:val="19"/>
          </w:rPr>
          <w:t xml:space="preserve"> 2</w:t>
        </w:r>
      </w:hyperlink>
      <w:r w:rsidRPr="00390F88">
        <w:rPr>
          <w:rFonts w:ascii="Avenir 45 Book" w:hAnsi="Avenir 45 Book"/>
          <w:sz w:val="19"/>
          <w:szCs w:val="19"/>
        </w:rPr>
        <w:t>, CPAs cannot provide assurance on matters relating to solvency. Matters relating to solvency are subject to legal interpretation under the Federal Bankruptcy Code and various state fraudulent conveyance and transfer statutes. Because these matters are not clearly defined in an accounting sense and are subject to varying interpretations, practitioners don’t have suitable criteria to evaluate a subject matter or make an assertion. Lenders are often concerned with legal issues on matters relating to solvency; however, CPAs are generally unable to evaluate or provide assurance on these matters of legal interpretation. The attestation standards preclude practitioners from giving any form of assurance on</w:t>
      </w:r>
      <w:r>
        <w:rPr>
          <w:rFonts w:ascii="Avenir 45 Book" w:hAnsi="Avenir 45 Book"/>
          <w:sz w:val="19"/>
          <w:szCs w:val="19"/>
        </w:rPr>
        <w:t xml:space="preserve"> matters relating to solvency. </w:t>
      </w:r>
    </w:p>
    <w:p w14:paraId="25E1B600" w14:textId="77777777" w:rsidR="00390F88" w:rsidRPr="00390F88" w:rsidRDefault="00390F88" w:rsidP="00390F88">
      <w:pPr>
        <w:ind w:right="2254"/>
        <w:rPr>
          <w:rFonts w:ascii="Avenir 45 Book" w:hAnsi="Avenir 45 Book"/>
          <w:sz w:val="19"/>
          <w:szCs w:val="19"/>
        </w:rPr>
      </w:pPr>
      <w:r w:rsidRPr="00390F88">
        <w:rPr>
          <w:rFonts w:ascii="Avenir 45 Book" w:hAnsi="Avenir 45 Book"/>
          <w:sz w:val="19"/>
          <w:szCs w:val="19"/>
        </w:rPr>
        <w:t xml:space="preserve">Here are a few examples of the types of solvency requests a practitioner is precluded from providing any form of assurance on, whether through examination, review, agreed-upon procedures engagements or any other consultative engagements. </w:t>
      </w:r>
    </w:p>
    <w:p w14:paraId="0216EB1E" w14:textId="77777777" w:rsidR="00390F88" w:rsidRPr="00390F88" w:rsidRDefault="00390F88" w:rsidP="00390F88">
      <w:pPr>
        <w:ind w:right="2254"/>
        <w:rPr>
          <w:rFonts w:ascii="Avenir 45 Book" w:hAnsi="Avenir 45 Book"/>
          <w:sz w:val="19"/>
          <w:szCs w:val="19"/>
        </w:rPr>
      </w:pPr>
      <w:r w:rsidRPr="00390F88">
        <w:rPr>
          <w:rFonts w:ascii="Avenir 45 Book" w:hAnsi="Avenir 45 Book"/>
          <w:sz w:val="19"/>
          <w:szCs w:val="19"/>
        </w:rPr>
        <w:t>Assurance that the client (business):</w:t>
      </w:r>
    </w:p>
    <w:p w14:paraId="63B6B0DD" w14:textId="4AFD1637" w:rsidR="00390F88" w:rsidRPr="00390F88" w:rsidRDefault="00390F88" w:rsidP="001B6FA8">
      <w:pPr>
        <w:pStyle w:val="ListParagraph"/>
        <w:numPr>
          <w:ilvl w:val="0"/>
          <w:numId w:val="4"/>
        </w:numPr>
        <w:ind w:right="2254"/>
        <w:rPr>
          <w:rFonts w:ascii="Avenir 45 Book" w:hAnsi="Avenir 45 Book"/>
          <w:sz w:val="19"/>
          <w:szCs w:val="19"/>
        </w:rPr>
      </w:pPr>
      <w:r w:rsidRPr="00390F88">
        <w:rPr>
          <w:rFonts w:ascii="Avenir 45 Book" w:hAnsi="Avenir 45 Book"/>
          <w:sz w:val="19"/>
          <w:szCs w:val="19"/>
        </w:rPr>
        <w:t>is not insolvent at the time the debt is incurred or would not be rendered insolvent in the near future</w:t>
      </w:r>
    </w:p>
    <w:p w14:paraId="72AC0425" w14:textId="119A8C8B" w:rsidR="00390F88" w:rsidRPr="00390F88" w:rsidRDefault="00390F88" w:rsidP="001B6FA8">
      <w:pPr>
        <w:pStyle w:val="ListParagraph"/>
        <w:numPr>
          <w:ilvl w:val="0"/>
          <w:numId w:val="4"/>
        </w:numPr>
        <w:ind w:right="2254"/>
        <w:rPr>
          <w:rFonts w:ascii="Avenir 45 Book" w:hAnsi="Avenir 45 Book"/>
          <w:sz w:val="19"/>
          <w:szCs w:val="19"/>
        </w:rPr>
      </w:pPr>
      <w:r w:rsidRPr="00390F88">
        <w:rPr>
          <w:rFonts w:ascii="Avenir 45 Book" w:hAnsi="Avenir 45 Book"/>
          <w:sz w:val="19"/>
          <w:szCs w:val="19"/>
        </w:rPr>
        <w:t>does not have unreasonably small capital</w:t>
      </w:r>
    </w:p>
    <w:p w14:paraId="4C27F4EE" w14:textId="335EDFEC" w:rsidR="00390F88" w:rsidRPr="00390F88" w:rsidRDefault="00390F88" w:rsidP="001B6FA8">
      <w:pPr>
        <w:pStyle w:val="ListParagraph"/>
        <w:numPr>
          <w:ilvl w:val="0"/>
          <w:numId w:val="4"/>
        </w:numPr>
        <w:ind w:right="2254"/>
        <w:rPr>
          <w:rFonts w:ascii="Avenir 45 Book" w:hAnsi="Avenir 45 Book"/>
          <w:sz w:val="19"/>
          <w:szCs w:val="19"/>
        </w:rPr>
      </w:pPr>
      <w:r w:rsidRPr="00390F88">
        <w:rPr>
          <w:rFonts w:ascii="Avenir 45 Book" w:hAnsi="Avenir 45 Book"/>
          <w:sz w:val="19"/>
          <w:szCs w:val="19"/>
        </w:rPr>
        <w:t>has the ability to pay its debts as they mature</w:t>
      </w:r>
    </w:p>
    <w:p w14:paraId="04BEF010" w14:textId="77777777" w:rsidR="00390F88" w:rsidRPr="00390F88" w:rsidRDefault="00390F88" w:rsidP="00390F88">
      <w:pPr>
        <w:ind w:right="2254"/>
        <w:rPr>
          <w:rFonts w:ascii="Avenir 45 Book" w:hAnsi="Avenir 45 Book"/>
          <w:sz w:val="19"/>
          <w:szCs w:val="19"/>
        </w:rPr>
      </w:pPr>
      <w:r w:rsidRPr="00390F88">
        <w:rPr>
          <w:rFonts w:ascii="Avenir 45 Book" w:hAnsi="Avenir 45 Book"/>
          <w:sz w:val="19"/>
          <w:szCs w:val="19"/>
        </w:rPr>
        <w:t>Or that the client’s (business’s):</w:t>
      </w:r>
    </w:p>
    <w:p w14:paraId="701F19A3" w14:textId="3BDA5A91" w:rsidR="00390F88" w:rsidRPr="00390F88" w:rsidRDefault="00390F88" w:rsidP="001B6FA8">
      <w:pPr>
        <w:pStyle w:val="ListParagraph"/>
        <w:numPr>
          <w:ilvl w:val="0"/>
          <w:numId w:val="4"/>
        </w:numPr>
        <w:ind w:right="2254"/>
        <w:rPr>
          <w:rFonts w:ascii="Avenir 45 Book" w:hAnsi="Avenir 45 Book"/>
          <w:sz w:val="19"/>
          <w:szCs w:val="19"/>
        </w:rPr>
      </w:pPr>
      <w:r w:rsidRPr="00390F88">
        <w:rPr>
          <w:rFonts w:ascii="Avenir 45 Book" w:hAnsi="Avenir 45 Book"/>
          <w:sz w:val="19"/>
          <w:szCs w:val="19"/>
        </w:rPr>
        <w:t>fair salable value of assets exceeds liabilities</w:t>
      </w:r>
    </w:p>
    <w:p w14:paraId="74276D22" w14:textId="7E65F0B0" w:rsidR="00390F88" w:rsidRPr="00390F88" w:rsidRDefault="00390F88" w:rsidP="001B6FA8">
      <w:pPr>
        <w:pStyle w:val="ListParagraph"/>
        <w:numPr>
          <w:ilvl w:val="0"/>
          <w:numId w:val="4"/>
        </w:numPr>
        <w:ind w:right="2254"/>
        <w:rPr>
          <w:rFonts w:ascii="Avenir 45 Book" w:hAnsi="Avenir 45 Book"/>
          <w:sz w:val="19"/>
          <w:szCs w:val="19"/>
        </w:rPr>
      </w:pPr>
      <w:r w:rsidRPr="00390F88">
        <w:rPr>
          <w:rFonts w:ascii="Avenir 45 Book" w:hAnsi="Avenir 45 Book"/>
          <w:sz w:val="19"/>
          <w:szCs w:val="19"/>
        </w:rPr>
        <w:t>contingent liabilities will not pose a problem</w:t>
      </w:r>
    </w:p>
    <w:p w14:paraId="2792B959" w14:textId="43FBBFB9" w:rsidR="00390F88" w:rsidRPr="00390F88" w:rsidRDefault="00390F88" w:rsidP="001B6FA8">
      <w:pPr>
        <w:pStyle w:val="ListParagraph"/>
        <w:numPr>
          <w:ilvl w:val="0"/>
          <w:numId w:val="4"/>
        </w:numPr>
        <w:ind w:right="2254"/>
        <w:rPr>
          <w:rFonts w:ascii="Avenir 45 Book" w:hAnsi="Avenir 45 Book"/>
          <w:sz w:val="19"/>
          <w:szCs w:val="19"/>
        </w:rPr>
      </w:pPr>
      <w:r w:rsidRPr="00390F88">
        <w:rPr>
          <w:rFonts w:ascii="Avenir 45 Book" w:hAnsi="Avenir 45 Book"/>
          <w:sz w:val="19"/>
          <w:szCs w:val="19"/>
        </w:rPr>
        <w:t>commitments will not have an impact on its business operations</w:t>
      </w:r>
    </w:p>
    <w:p w14:paraId="40A7AFDE" w14:textId="77777777" w:rsidR="00390F88" w:rsidRPr="00390F88" w:rsidRDefault="00390F88" w:rsidP="00390F88">
      <w:pPr>
        <w:ind w:right="2254"/>
        <w:rPr>
          <w:rFonts w:ascii="Avenir 45 Book" w:hAnsi="Avenir 45 Book"/>
          <w:sz w:val="19"/>
          <w:szCs w:val="19"/>
        </w:rPr>
      </w:pPr>
      <w:r w:rsidRPr="00390F88">
        <w:rPr>
          <w:rFonts w:ascii="Avenir 45 Book" w:hAnsi="Avenir 45 Book"/>
          <w:sz w:val="19"/>
          <w:szCs w:val="19"/>
        </w:rPr>
        <w:t>Remember, providing third-party verification letters is an individual, or firm, decision. Credit decisions should be based on the requestor’s exercise of due diligence in obtaining and considering multiple factors and information and not solely granted based on your response. Make sure you obtain the client’s consent before revealing confidential client information.</w:t>
      </w:r>
    </w:p>
    <w:p w14:paraId="71EB3434" w14:textId="77777777" w:rsidR="00390F88" w:rsidRPr="00390F88" w:rsidRDefault="00390F88" w:rsidP="00390F88">
      <w:pPr>
        <w:ind w:right="2254"/>
        <w:rPr>
          <w:rFonts w:ascii="Avenir 45 Book" w:hAnsi="Avenir 45 Book"/>
          <w:i/>
          <w:sz w:val="19"/>
          <w:szCs w:val="19"/>
        </w:rPr>
      </w:pPr>
      <w:r w:rsidRPr="00390F88">
        <w:rPr>
          <w:rFonts w:ascii="Avenir 45 Book" w:hAnsi="Avenir 45 Book"/>
          <w:i/>
          <w:sz w:val="19"/>
          <w:szCs w:val="19"/>
        </w:rPr>
        <w:t>Obtaining Client Consent</w:t>
      </w:r>
    </w:p>
    <w:p w14:paraId="69041228" w14:textId="25A16E97" w:rsidR="00390F88" w:rsidRPr="00390F88" w:rsidRDefault="00390F88" w:rsidP="00390F88">
      <w:pPr>
        <w:ind w:right="2254"/>
        <w:rPr>
          <w:rFonts w:ascii="Avenir 45 Book" w:hAnsi="Avenir 45 Book"/>
          <w:sz w:val="19"/>
          <w:szCs w:val="19"/>
        </w:rPr>
      </w:pPr>
      <w:r w:rsidRPr="00390F88">
        <w:rPr>
          <w:rFonts w:ascii="Avenir 45 Book" w:hAnsi="Avenir 45 Book"/>
          <w:sz w:val="19"/>
          <w:szCs w:val="19"/>
        </w:rPr>
        <w:t xml:space="preserve">A CPA cannot provide any confidential client information without signed, written consent from the client. Obtaining client consent to share tax return information creates an added complication: using a standard client consent form is not sufficient. In fact, it’s a crime. </w:t>
      </w:r>
      <w:hyperlink r:id="rId13" w:history="1">
        <w:r w:rsidRPr="00390F88">
          <w:rPr>
            <w:rStyle w:val="Hyperlink"/>
            <w:rFonts w:ascii="Avenir 45 Book" w:hAnsi="Avenir 45 Book"/>
            <w:sz w:val="19"/>
            <w:szCs w:val="19"/>
          </w:rPr>
          <w:t>Internal Revenue Code Section 7216</w:t>
        </w:r>
      </w:hyperlink>
      <w:r w:rsidRPr="00390F88">
        <w:rPr>
          <w:rFonts w:ascii="Avenir 45 Book" w:hAnsi="Avenir 45 Book"/>
          <w:sz w:val="19"/>
          <w:szCs w:val="19"/>
        </w:rPr>
        <w:t xml:space="preserve"> dictates that CPAs use a specific format to obtain consent to disclose client tax return </w:t>
      </w:r>
      <w:r w:rsidRPr="00390F88">
        <w:rPr>
          <w:rFonts w:ascii="Avenir 45 Book" w:hAnsi="Avenir 45 Book"/>
          <w:sz w:val="19"/>
          <w:szCs w:val="19"/>
        </w:rPr>
        <w:lastRenderedPageBreak/>
        <w:t>information to a third party, so be sure you follow the Code when being asked to provide copies of tax information, tax returns or other information used in the prepar</w:t>
      </w:r>
      <w:r>
        <w:rPr>
          <w:rFonts w:ascii="Avenir 45 Book" w:hAnsi="Avenir 45 Book"/>
          <w:sz w:val="19"/>
          <w:szCs w:val="19"/>
        </w:rPr>
        <w:t>ation of a client’s tax return.</w:t>
      </w:r>
    </w:p>
    <w:p w14:paraId="5C397015" w14:textId="77777777" w:rsidR="00390F88" w:rsidRPr="00390F88" w:rsidRDefault="00390F88" w:rsidP="00390F88">
      <w:pPr>
        <w:ind w:right="2254"/>
        <w:rPr>
          <w:rFonts w:ascii="Avenir 45 Book" w:hAnsi="Avenir 45 Book"/>
          <w:i/>
          <w:sz w:val="19"/>
          <w:szCs w:val="19"/>
        </w:rPr>
      </w:pPr>
      <w:r w:rsidRPr="00390F88">
        <w:rPr>
          <w:rFonts w:ascii="Avenir 45 Book" w:hAnsi="Avenir 45 Book"/>
          <w:i/>
          <w:sz w:val="19"/>
          <w:szCs w:val="19"/>
        </w:rPr>
        <w:t>Resources for Your Use</w:t>
      </w:r>
    </w:p>
    <w:p w14:paraId="228DB085" w14:textId="77777777" w:rsidR="00390F88" w:rsidRPr="00390F88" w:rsidRDefault="00390F88" w:rsidP="00390F88">
      <w:pPr>
        <w:ind w:right="2254"/>
        <w:rPr>
          <w:rFonts w:ascii="Avenir 45 Book" w:hAnsi="Avenir 45 Book"/>
          <w:sz w:val="19"/>
          <w:szCs w:val="19"/>
        </w:rPr>
      </w:pPr>
      <w:r w:rsidRPr="00390F88">
        <w:rPr>
          <w:rFonts w:ascii="Avenir 45 Book" w:hAnsi="Avenir 45 Book"/>
          <w:sz w:val="19"/>
          <w:szCs w:val="19"/>
        </w:rPr>
        <w:t>Providing third-party verifications is a critical service CPAs provide to their clients, and understanding the ins-and-outs can help you make quick decisions and foster client relationships.</w:t>
      </w:r>
    </w:p>
    <w:p w14:paraId="7EED151B" w14:textId="716E8405" w:rsidR="003A77A1" w:rsidRPr="00390F88" w:rsidRDefault="00390F88" w:rsidP="00390F88">
      <w:pPr>
        <w:ind w:right="2254"/>
        <w:rPr>
          <w:rFonts w:ascii="Avenir 45 Book" w:hAnsi="Avenir 45 Book"/>
          <w:sz w:val="19"/>
          <w:szCs w:val="19"/>
        </w:rPr>
      </w:pPr>
      <w:r w:rsidRPr="00390F88">
        <w:rPr>
          <w:rFonts w:ascii="Avenir 45 Book" w:hAnsi="Avenir 45 Book"/>
          <w:sz w:val="19"/>
          <w:szCs w:val="19"/>
        </w:rPr>
        <w:t xml:space="preserve">To find out more, visit the AICPA’s Financial Reporting Center webpage dedicated to third-party verification requests, </w:t>
      </w:r>
      <w:hyperlink r:id="rId14" w:history="1">
        <w:r w:rsidRPr="00390F88">
          <w:rPr>
            <w:rStyle w:val="Hyperlink"/>
            <w:rFonts w:ascii="Avenir 45 Book" w:hAnsi="Avenir 45 Book"/>
            <w:sz w:val="19"/>
            <w:szCs w:val="19"/>
          </w:rPr>
          <w:t>aicpa.org/verifications</w:t>
        </w:r>
      </w:hyperlink>
      <w:r w:rsidRPr="00390F88">
        <w:rPr>
          <w:rFonts w:ascii="Avenir 45 Book" w:hAnsi="Avenir 45 Book"/>
          <w:sz w:val="19"/>
          <w:szCs w:val="19"/>
        </w:rPr>
        <w:t xml:space="preserve">, where you can find information that will help you make smart decisions about whether providing a comfort letter makes sense for you and your firm. You’ll find guidance from various AICPA resources, including sample response letters from the AICPA’s Private Company Practice Section (PCPS), a toolkit for your use and an article by AON, the AICPA’s professional liability insurance program. Additionally, on the third-party verifications page, you’ll find this </w:t>
      </w:r>
      <w:hyperlink r:id="rId15" w:history="1">
        <w:r w:rsidRPr="00390F88">
          <w:rPr>
            <w:rStyle w:val="Hyperlink"/>
            <w:rFonts w:ascii="Avenir 45 Book" w:hAnsi="Avenir 45 Book"/>
            <w:sz w:val="19"/>
            <w:szCs w:val="19"/>
          </w:rPr>
          <w:t>video</w:t>
        </w:r>
      </w:hyperlink>
      <w:r w:rsidRPr="00390F88">
        <w:rPr>
          <w:rFonts w:ascii="Avenir 45 Book" w:hAnsi="Avenir 45 Book"/>
          <w:sz w:val="19"/>
          <w:szCs w:val="19"/>
        </w:rPr>
        <w:t xml:space="preserve"> featuring Sue Coffey, CPA, CGMA, AICPA Senior Vice President – Public Practice and Global Alliances, discussing third party verification requests and the legal issues related to solvency requests.</w:t>
      </w:r>
    </w:p>
    <w:p w14:paraId="0A9A3EBD" w14:textId="7A63BF33" w:rsidR="009D6A84" w:rsidRPr="001F1CA5" w:rsidRDefault="00D11B23" w:rsidP="005B52B1">
      <w:pPr>
        <w:pStyle w:val="TISPara"/>
        <w:tabs>
          <w:tab w:val="left" w:pos="360"/>
          <w:tab w:val="left" w:pos="720"/>
          <w:tab w:val="left" w:pos="1080"/>
          <w:tab w:val="left" w:pos="1440"/>
          <w:tab w:val="left" w:pos="1800"/>
        </w:tabs>
      </w:pPr>
      <w:r>
        <w:rPr>
          <w:noProof/>
        </w:rPr>
        <mc:AlternateContent>
          <mc:Choice Requires="wps">
            <w:drawing>
              <wp:anchor distT="0" distB="0" distL="114300" distR="114300" simplePos="0" relativeHeight="251659264" behindDoc="0" locked="0" layoutInCell="1" allowOverlap="1" wp14:anchorId="171A3BAE" wp14:editId="647045B9">
                <wp:simplePos x="0" y="0"/>
                <wp:positionH relativeFrom="page">
                  <wp:posOffset>395021</wp:posOffset>
                </wp:positionH>
                <wp:positionV relativeFrom="page">
                  <wp:posOffset>8609990</wp:posOffset>
                </wp:positionV>
                <wp:extent cx="7000646" cy="1005840"/>
                <wp:effectExtent l="0" t="0" r="10160" b="22860"/>
                <wp:wrapSquare wrapText="bothSides"/>
                <wp:docPr id="3" name="Rectangle 3"/>
                <wp:cNvGraphicFramePr/>
                <a:graphic xmlns:a="http://schemas.openxmlformats.org/drawingml/2006/main">
                  <a:graphicData uri="http://schemas.microsoft.com/office/word/2010/wordprocessingShape">
                    <wps:wsp>
                      <wps:cNvSpPr/>
                      <wps:spPr>
                        <a:xfrm>
                          <a:off x="0" y="0"/>
                          <a:ext cx="7000646" cy="100584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557B60" w14:textId="63BF451E" w:rsidR="009661DA" w:rsidRPr="00CE5305" w:rsidRDefault="009661DA" w:rsidP="00911F64">
                            <w:pPr>
                              <w:pStyle w:val="TISDiscl-Copy"/>
                            </w:pPr>
                            <w:r w:rsidRPr="00961EF3">
                              <w:rPr>
                                <w:rStyle w:val="TISCharDisclDarkChar"/>
                              </w:rPr>
                              <w:t>DISCLAIMER:</w:t>
                            </w:r>
                            <w:r w:rsidRPr="00CE5305">
                              <w:rPr>
                                <w:color w:val="0D0D0D" w:themeColor="text1" w:themeTint="F2"/>
                              </w:rPr>
                              <w:t xml:space="preserve"> </w:t>
                            </w:r>
                            <w:r w:rsidRPr="00CE5305">
                              <w:t>This publication has not been approved, disapproved or otherwise acted upon by any senior committees of, and does not represent an official position of, the American Institute of Certified Public Accountants. It is distributed with the understanding that the contributing authors and editors, and the publisher, are not rendering legal, accounting, or other professional services in this publication. If legal advice or other expert assistance is required, the services of a competent professional should be sought.</w:t>
                            </w:r>
                          </w:p>
                          <w:p w14:paraId="0B6ABCD0" w14:textId="37A96660" w:rsidR="009661DA" w:rsidRDefault="009661DA" w:rsidP="00911F64">
                            <w:pPr>
                              <w:pStyle w:val="TISDiscl-Copy"/>
                            </w:pPr>
                            <w:r w:rsidRPr="00D11B23">
                              <w:t>Copyright © 201</w:t>
                            </w:r>
                            <w:r w:rsidR="001019B7">
                              <w:t>4</w:t>
                            </w:r>
                            <w:r w:rsidRPr="00D11B23">
                              <w:t xml:space="preserve"> by American Institute of Certified Public Accountants, Inc. New York, NY 10036-8775. All rights reserved. For information about the procedure for requesting permission to make copies of any part of this work, please email </w:t>
                            </w:r>
                            <w:r w:rsidRPr="00961EF3">
                              <w:rPr>
                                <w:rStyle w:val="TISCharLinkChar"/>
                              </w:rPr>
                              <w:t>copyright@aicpa.org</w:t>
                            </w:r>
                            <w:r w:rsidRPr="00D11B23">
                              <w:rPr>
                                <w:color w:val="548DD4" w:themeColor="text2" w:themeTint="99"/>
                              </w:rPr>
                              <w:t xml:space="preserve"> </w:t>
                            </w:r>
                            <w:r w:rsidRPr="00D11B23">
                              <w:t>with your request. Otherwise, requests should be written and mailed to the Permissions Department, AICPA, 220 Leigh Farm Road, Durham, NC 27707-8110.</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1.1pt;margin-top:677.95pt;width:551.25pt;height:79.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iHClgIAALYFAAAOAAAAZHJzL2Uyb0RvYy54bWysVEtv2zAMvg/YfxB0X22n6WNBnSJo0WFA&#10;0RZth54VWYoFyKImKbGzXz9KfqTrih2KXWTKJD+Sn0heXHaNJjvhvAJT0uIop0QYDpUym5L+eL75&#10;ck6JD8xUTIMRJd0LTy+Xnz9dtHYhZlCDroQjCGL8orUlrUOwiyzzvBYN80dghUGlBNewgFe3ySrH&#10;WkRvdDbL89OsBVdZB1x4j3+veyVdJnwpBQ/3UnoRiC4p5hbS6dK5jme2vGCLjWO2VnxIg30gi4Yp&#10;g0EnqGsWGNk69RdUo7gDDzIccWgykFJxkWrAaor8TTVPNbMi1YLkeDvR5P8fLL/bPTiiqpIeU2JY&#10;g0/0iKQxs9GCHEd6WusXaPVkH9xw8yjGWjvpmvjFKkiXKN1PlIouEI4/z3J8pPkpJRx1RZ6fnM8T&#10;6dnB3TofvgloSBRK6jB8opLtbn3AkGg6msRoHrSqbpTW6RL7RFxpR3YMX3i9KWLK6PGHlTYfckSY&#10;6JlFBvqakxT2WkQ8bR6FROqwyllKODXtIRnGuTCh6FU1q0Sf4wkyMlIweaScE2BElljdhD0A/Fno&#10;iN0XO9hHV5F6fnLO/5VY7zx5pMhgwuTcKAPuPQCNVQ2Re/uRpJ6ayFLo1h2aRHEN1R57zEE/fN7y&#10;G4Uvfct8eGAOpw3nEjdIuMdDamhLCoNESQ3u13v/oz0OAWopaXF6S+p/bpkTlOjvBsfjazHHPiMh&#10;XeYnZzO8uNea9WuN2TZXgO1T4K6yPInRPuhRlA6aF1w0qxgVVcxwjI39NopXod8puKi4WK2SEQ64&#10;ZeHWPFkeoSO9sY+fuxfm7NDsAefkDsY5Z4s3Pd/bRk8Dq20AqdJAHFgdiMflkDpoWGRx+7y+J6vD&#10;ul3+BgAA//8DAFBLAwQUAAYACAAAACEAwYDALeYAAAANAQAADwAAAGRycy9kb3ducmV2LnhtbEyP&#10;y07DMBBF90j8gzVIbFDrPJpAQpwKKiF1AZXaIrF1E5ME7HGI3Tb065mu6G4eR3fOFPPRaHZQg+ss&#10;CginATCFla07bAS8b18mD8Ccl1hLbVEJ+FUO5uX1VSHz2h5xrQ4b3zAKQZdLAa33fc65q1plpJva&#10;XiHtPu1gpKd2aHg9yCOFG82jIEi5kR3ShVb2atGq6nuzNwKW2Vd1yj6C1eJ1e1rFd8vnnze9FuL2&#10;Znx6BObV6P9hOOuTOpTktLN7rB3TAtIoIpLmcZJkwM5EmM7uge2oSsJZDLws+OUX5R8AAAD//wMA&#10;UEsBAi0AFAAGAAgAAAAhALaDOJL+AAAA4QEAABMAAAAAAAAAAAAAAAAAAAAAAFtDb250ZW50X1R5&#10;cGVzXS54bWxQSwECLQAUAAYACAAAACEAOP0h/9YAAACUAQAACwAAAAAAAAAAAAAAAAAvAQAAX3Jl&#10;bHMvLnJlbHNQSwECLQAUAAYACAAAACEAysIhwpYCAAC2BQAADgAAAAAAAAAAAAAAAAAuAgAAZHJz&#10;L2Uyb0RvYy54bWxQSwECLQAUAAYACAAAACEAwYDALeYAAAANAQAADwAAAAAAAAAAAAAAAADwBAAA&#10;ZHJzL2Rvd25yZXYueG1sUEsFBgAAAAAEAAQA8wAAAAMGAAAAAA==&#10;" fillcolor="white [3212]" strokecolor="white [3212]" strokeweight="2pt">
                <v:textbox>
                  <w:txbxContent>
                    <w:p w14:paraId="15557B60" w14:textId="63BF451E" w:rsidR="009661DA" w:rsidRPr="00CE5305" w:rsidRDefault="009661DA" w:rsidP="00911F64">
                      <w:pPr>
                        <w:pStyle w:val="TISDiscl-Copy"/>
                      </w:pPr>
                      <w:r w:rsidRPr="00961EF3">
                        <w:rPr>
                          <w:rStyle w:val="TISCharDisclDarkChar"/>
                        </w:rPr>
                        <w:t>DISCLAIMER:</w:t>
                      </w:r>
                      <w:r w:rsidRPr="00CE5305">
                        <w:rPr>
                          <w:color w:val="0D0D0D" w:themeColor="text1" w:themeTint="F2"/>
                        </w:rPr>
                        <w:t xml:space="preserve"> </w:t>
                      </w:r>
                      <w:r w:rsidRPr="00CE5305">
                        <w:t>This publication has not been approved, disapproved or otherwise acted upon by any senior committees of, and does not represent an official position of, the American Institute of Certified Public Accountants. It is distributed with the understanding that the contributing authors and editors, and the publisher, are not rendering legal, accounting, or other professional services in this publication. If legal advice or other expert assistance is required, the services of a competent professional should be sought.</w:t>
                      </w:r>
                    </w:p>
                    <w:p w14:paraId="0B6ABCD0" w14:textId="37A96660" w:rsidR="009661DA" w:rsidRDefault="009661DA" w:rsidP="00911F64">
                      <w:pPr>
                        <w:pStyle w:val="TISDiscl-Copy"/>
                      </w:pPr>
                      <w:proofErr w:type="gramStart"/>
                      <w:r w:rsidRPr="00D11B23">
                        <w:t>Copyright © 201</w:t>
                      </w:r>
                      <w:r w:rsidR="001019B7">
                        <w:t>4</w:t>
                      </w:r>
                      <w:r w:rsidRPr="00D11B23">
                        <w:t xml:space="preserve"> by American Institute of Certified Public Accountants, Inc.</w:t>
                      </w:r>
                      <w:proofErr w:type="gramEnd"/>
                      <w:r w:rsidRPr="00D11B23">
                        <w:t xml:space="preserve"> New York, NY 10036-8775. All rights reserved. For information about the procedure for requesting permission to make copies of any part of this work, please email </w:t>
                      </w:r>
                      <w:r w:rsidRPr="00961EF3">
                        <w:rPr>
                          <w:rStyle w:val="TISCharLinkChar"/>
                        </w:rPr>
                        <w:t>copyright@aicpa.org</w:t>
                      </w:r>
                      <w:r w:rsidRPr="00D11B23">
                        <w:rPr>
                          <w:color w:val="548DD4" w:themeColor="text2" w:themeTint="99"/>
                        </w:rPr>
                        <w:t xml:space="preserve"> </w:t>
                      </w:r>
                      <w:r w:rsidRPr="00D11B23">
                        <w:t xml:space="preserve">with your request. Otherwise, requests should be written and mailed to the Permissions Department, AICPA, </w:t>
                      </w:r>
                      <w:proofErr w:type="gramStart"/>
                      <w:r w:rsidRPr="00D11B23">
                        <w:t>220</w:t>
                      </w:r>
                      <w:proofErr w:type="gramEnd"/>
                      <w:r w:rsidRPr="00D11B23">
                        <w:t xml:space="preserve"> Leigh Farm Road, Durham, NC 27707-8110.</w:t>
                      </w:r>
                    </w:p>
                  </w:txbxContent>
                </v:textbox>
                <w10:wrap type="square" anchorx="page" anchory="page"/>
              </v:rect>
            </w:pict>
          </mc:Fallback>
        </mc:AlternateContent>
      </w:r>
    </w:p>
    <w:sectPr w:rsidR="009D6A84" w:rsidRPr="001F1CA5" w:rsidSect="009661DA">
      <w:headerReference w:type="even" r:id="rId16"/>
      <w:headerReference w:type="default" r:id="rId17"/>
      <w:footerReference w:type="even" r:id="rId18"/>
      <w:footerReference w:type="default" r:id="rId19"/>
      <w:footerReference w:type="first" r:id="rId20"/>
      <w:pgSz w:w="12240" w:h="15840" w:code="1"/>
      <w:pgMar w:top="630" w:right="720" w:bottom="634" w:left="806" w:header="187" w:footer="1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E91F92" w14:textId="77777777" w:rsidR="001B6FA8" w:rsidRDefault="001B6FA8" w:rsidP="00842342">
      <w:pPr>
        <w:spacing w:after="0" w:line="240" w:lineRule="auto"/>
      </w:pPr>
      <w:r>
        <w:separator/>
      </w:r>
    </w:p>
  </w:endnote>
  <w:endnote w:type="continuationSeparator" w:id="0">
    <w:p w14:paraId="513B6D20" w14:textId="77777777" w:rsidR="001B6FA8" w:rsidRDefault="001B6FA8" w:rsidP="00842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enir 45 Book">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venir-Book">
    <w:panose1 w:val="00000000000000000000"/>
    <w:charset w:val="00"/>
    <w:family w:val="swiss"/>
    <w:notTrueType/>
    <w:pitch w:val="default"/>
    <w:sig w:usb0="00000003" w:usb1="00000000" w:usb2="00000000" w:usb3="00000000" w:csb0="00000001" w:csb1="00000000"/>
  </w:font>
  <w:font w:name="Avenir-Roman">
    <w:panose1 w:val="00000000000000000000"/>
    <w:charset w:val="00"/>
    <w:family w:val="swiss"/>
    <w:notTrueType/>
    <w:pitch w:val="default"/>
    <w:sig w:usb0="00000003" w:usb1="00000000" w:usb2="00000000" w:usb3="00000000" w:csb0="00000001" w:csb1="00000000"/>
  </w:font>
  <w:font w:name="Avenir 55 Roman">
    <w:panose1 w:val="00000000000000000000"/>
    <w:charset w:val="00"/>
    <w:family w:val="swiss"/>
    <w:notTrueType/>
    <w:pitch w:val="variable"/>
    <w:sig w:usb0="00000003" w:usb1="00000000" w:usb2="00000000" w:usb3="00000000" w:csb0="00000001" w:csb1="00000000"/>
  </w:font>
  <w:font w:name="Avenir-Heavy">
    <w:panose1 w:val="00000000000000000000"/>
    <w:charset w:val="00"/>
    <w:family w:val="swiss"/>
    <w:notTrueType/>
    <w:pitch w:val="default"/>
    <w:sig w:usb0="00000003" w:usb1="00000000" w:usb2="00000000" w:usb3="00000000" w:csb0="00000001" w:csb1="00000000"/>
  </w:font>
  <w:font w:name="Avenir-BookOblique">
    <w:panose1 w:val="00000000000000000000"/>
    <w:charset w:val="00"/>
    <w:family w:val="swiss"/>
    <w:notTrueType/>
    <w:pitch w:val="default"/>
    <w:sig w:usb0="00000003" w:usb1="00000000" w:usb2="00000000" w:usb3="00000000" w:csb0="00000001" w:csb1="00000000"/>
  </w:font>
  <w:font w:name="Avenir 65 Mediu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4A0DF" w14:textId="77777777" w:rsidR="009661DA" w:rsidRPr="009661DA" w:rsidRDefault="009661DA" w:rsidP="009661DA">
    <w:pPr>
      <w:pStyle w:val="Footer"/>
      <w:tabs>
        <w:tab w:val="clear" w:pos="4680"/>
        <w:tab w:val="clear" w:pos="9360"/>
        <w:tab w:val="center" w:pos="5310"/>
        <w:tab w:val="right" w:pos="10710"/>
      </w:tabs>
      <w:ind w:left="180" w:hanging="180"/>
      <w:rPr>
        <w:rFonts w:ascii="Avenir 65 Medium" w:hAnsi="Avenir 65 Medium"/>
        <w:color w:val="000000" w:themeColor="text1"/>
        <w:sz w:val="20"/>
        <w:szCs w:val="20"/>
      </w:rPr>
    </w:pPr>
    <w:r>
      <w:rPr>
        <w:rFonts w:ascii="Avenir 65 Medium" w:hAnsi="Avenir 65 Medium"/>
        <w:noProof/>
        <w:color w:val="000000" w:themeColor="text1"/>
      </w:rPr>
      <mc:AlternateContent>
        <mc:Choice Requires="wps">
          <w:drawing>
            <wp:anchor distT="0" distB="0" distL="114300" distR="114300" simplePos="0" relativeHeight="251665408" behindDoc="1" locked="0" layoutInCell="1" allowOverlap="1" wp14:anchorId="1216FE5B" wp14:editId="1728A9B9">
              <wp:simplePos x="0" y="0"/>
              <wp:positionH relativeFrom="column">
                <wp:posOffset>-558800</wp:posOffset>
              </wp:positionH>
              <wp:positionV relativeFrom="paragraph">
                <wp:posOffset>-62007</wp:posOffset>
              </wp:positionV>
              <wp:extent cx="7854950" cy="323850"/>
              <wp:effectExtent l="0" t="0" r="12700" b="19050"/>
              <wp:wrapNone/>
              <wp:docPr id="6" name="Rectangle 6"/>
              <wp:cNvGraphicFramePr/>
              <a:graphic xmlns:a="http://schemas.openxmlformats.org/drawingml/2006/main">
                <a:graphicData uri="http://schemas.microsoft.com/office/word/2010/wordprocessingShape">
                  <wps:wsp>
                    <wps:cNvSpPr/>
                    <wps:spPr>
                      <a:xfrm>
                        <a:off x="0" y="0"/>
                        <a:ext cx="7854950" cy="323850"/>
                      </a:xfrm>
                      <a:prstGeom prst="rect">
                        <a:avLst/>
                      </a:prstGeom>
                      <a:solidFill>
                        <a:srgbClr val="9FA618"/>
                      </a:solidFill>
                      <a:ln>
                        <a:solidFill>
                          <a:srgbClr val="9FA61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 o:spid="_x0000_s1026" style="position:absolute;margin-left:-44pt;margin-top:-4.9pt;width:618.5pt;height:25.5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8wClQIAAK4FAAAOAAAAZHJzL2Uyb0RvYy54bWysVEtv2zAMvg/YfxB0X52kSZoGdYqgRYYB&#10;RVu0HXpWZCk2IIsapbz260fJjz5W7FAsB4USyY/kZ5IXl4fasJ1CX4HN+fBkwJmyEorKbnL+82n1&#10;bcaZD8IWwoBVOT8qzy8XX79c7N1cjaAEUyhkBGL9fO9yXobg5lnmZalq4U/AKUtKDViLQFfcZAWK&#10;PaHXJhsNBtNsD1g4BKm8p9frRskXCV9rJcOd1l4FZnJOuYV0YjrX8cwWF2K+QeHKSrZpiE9kUYvK&#10;UtAe6loEwbZY/QVVVxLBgw4nEuoMtK6kSjVQNcPBu2oeS+FUqoXI8a6nyf8/WHm7u0dWFTmfcmZF&#10;TZ/ogUgTdmMUm0Z69s7PyerR3WN78yTGWg8a6/hPVbBDovTYU6oOgUl6PJtNxucTYl6S7nR0OiOZ&#10;YLIXb4c+fFdQsyjkHCl6YlLsbnxoTDuTGMyDqYpVZUy64GZ9ZZDtBH3e89VyOpy16G/MjP2cJ2UZ&#10;XbNIQVN0ksLRqAho7IPSxB2VOUopp65VfUJCSmXDsFGVolBNnpMB/bo0Y59Hj0RJAozImurrsVuA&#10;zrIB6bAbglr76KpS0/fOg38l1jj3Hiky2NA715UF/AjAUFVt5Ma+I6mhJrK0huJInYXQjJx3clXR&#10;B74RPtwLpBmjnqC9Ee7o0Ab2OYdW4qwE/P3Re7Sn1ictZ3ua2Zz7X1uBijPzw9JQnA/H4zjk6TKe&#10;nI3ogq8169cau62vgPpmSBvKySRG+2A6USPUz7ReljEqqYSVFDvnMmB3uQrNLqEFJdVymcxosJ0I&#10;N/bRyQgeWY0N/HR4FujaLg80H7fQzbeYv2v2xjZ6WlhuA+gqTcILry3ftBRS47QLLG6d1/dk9bJm&#10;F38AAAD//wMAUEsDBBQABgAIAAAAIQDt4SfS4AAAAAoBAAAPAAAAZHJzL2Rvd25yZXYueG1sTI9B&#10;T4NAEIXvJv6HzZh4axcaYihladRojPFisTHxtmWnQGVnCbtQ/PdOT3qbmffy5nv5dradmHDwrSMF&#10;8TICgVQ501KtYP/xvEhB+KDJ6M4RKvhBD9vi+irXmXFn2uFUhlpwCPlMK2hC6DMpfdWg1X7peiTW&#10;jm6wOvA61NIM+szhtpOrKLqTVrfEHxrd42OD1Xc5WgU4PpSn5Cn9/LKTSd738u34+jIodXsz329A&#10;BJzDnxku+IwOBTMd3EjGi07BIk25S+BhzRUuhjhZ8+WgIIlXIItc/q9Q/AIAAP//AwBQSwECLQAU&#10;AAYACAAAACEAtoM4kv4AAADhAQAAEwAAAAAAAAAAAAAAAAAAAAAAW0NvbnRlbnRfVHlwZXNdLnht&#10;bFBLAQItABQABgAIAAAAIQA4/SH/1gAAAJQBAAALAAAAAAAAAAAAAAAAAC8BAABfcmVscy8ucmVs&#10;c1BLAQItABQABgAIAAAAIQCZe8wClQIAAK4FAAAOAAAAAAAAAAAAAAAAAC4CAABkcnMvZTJvRG9j&#10;LnhtbFBLAQItABQABgAIAAAAIQDt4SfS4AAAAAoBAAAPAAAAAAAAAAAAAAAAAO8EAABkcnMvZG93&#10;bnJldi54bWxQSwUGAAAAAAQABADzAAAA/AUAAAAA&#10;" fillcolor="#9fa618" strokecolor="#9fa618" strokeweight="2pt"/>
          </w:pict>
        </mc:Fallback>
      </mc:AlternateContent>
    </w:r>
    <w:r>
      <w:rPr>
        <w:rFonts w:ascii="Avenir 65 Medium" w:hAnsi="Avenir 65 Medium"/>
        <w:color w:val="000000" w:themeColor="text1"/>
      </w:rPr>
      <w:tab/>
    </w:r>
    <w:r>
      <w:rPr>
        <w:rFonts w:ascii="Avenir 65 Medium" w:hAnsi="Avenir 65 Medium"/>
        <w:color w:val="000000" w:themeColor="text1"/>
      </w:rPr>
      <w:tab/>
    </w:r>
    <w:hyperlink r:id="rId1" w:history="1">
      <w:r w:rsidRPr="001F1CA5">
        <w:rPr>
          <w:rStyle w:val="Hyperlink"/>
          <w:rFonts w:ascii="Avenir 65 Medium" w:hAnsi="Avenir 65 Medium"/>
          <w:color w:val="FFFFFF" w:themeColor="background1"/>
          <w:sz w:val="20"/>
          <w:szCs w:val="20"/>
          <w:u w:val="none"/>
        </w:rPr>
        <w:t>aicpa.org/FRC</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EBD19" w14:textId="77777777" w:rsidR="009661DA" w:rsidRPr="001F1CA5" w:rsidRDefault="009661DA" w:rsidP="009D6A84">
    <w:pPr>
      <w:pStyle w:val="Footer"/>
      <w:tabs>
        <w:tab w:val="clear" w:pos="4680"/>
        <w:tab w:val="clear" w:pos="9360"/>
        <w:tab w:val="center" w:pos="5310"/>
        <w:tab w:val="right" w:pos="10710"/>
      </w:tabs>
      <w:ind w:left="180" w:hanging="180"/>
      <w:rPr>
        <w:rFonts w:ascii="Avenir 65 Medium" w:hAnsi="Avenir 65 Medium"/>
        <w:color w:val="000000" w:themeColor="text1"/>
        <w:sz w:val="20"/>
        <w:szCs w:val="20"/>
      </w:rPr>
    </w:pPr>
    <w:r>
      <w:rPr>
        <w:rFonts w:ascii="Avenir 65 Medium" w:hAnsi="Avenir 65 Medium"/>
        <w:noProof/>
        <w:color w:val="000000" w:themeColor="text1"/>
      </w:rPr>
      <mc:AlternateContent>
        <mc:Choice Requires="wps">
          <w:drawing>
            <wp:anchor distT="0" distB="0" distL="114300" distR="114300" simplePos="0" relativeHeight="251659264" behindDoc="1" locked="0" layoutInCell="1" allowOverlap="1" wp14:anchorId="0E03EEAF" wp14:editId="47E86632">
              <wp:simplePos x="0" y="0"/>
              <wp:positionH relativeFrom="column">
                <wp:posOffset>-558800</wp:posOffset>
              </wp:positionH>
              <wp:positionV relativeFrom="paragraph">
                <wp:posOffset>-60325</wp:posOffset>
              </wp:positionV>
              <wp:extent cx="7854950" cy="323850"/>
              <wp:effectExtent l="0" t="0" r="12700" b="19050"/>
              <wp:wrapNone/>
              <wp:docPr id="2" name="Rectangle 2"/>
              <wp:cNvGraphicFramePr/>
              <a:graphic xmlns:a="http://schemas.openxmlformats.org/drawingml/2006/main">
                <a:graphicData uri="http://schemas.microsoft.com/office/word/2010/wordprocessingShape">
                  <wps:wsp>
                    <wps:cNvSpPr/>
                    <wps:spPr>
                      <a:xfrm>
                        <a:off x="0" y="0"/>
                        <a:ext cx="7854950" cy="323850"/>
                      </a:xfrm>
                      <a:prstGeom prst="rect">
                        <a:avLst/>
                      </a:prstGeom>
                      <a:solidFill>
                        <a:srgbClr val="9FA618"/>
                      </a:solidFill>
                      <a:ln>
                        <a:solidFill>
                          <a:srgbClr val="9FA61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 o:spid="_x0000_s1026" style="position:absolute;margin-left:-44pt;margin-top:-4.75pt;width:618.5pt;height:25.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Vi8lQIAAK4FAAAOAAAAZHJzL2Uyb0RvYy54bWysVN1PGzEMf5+0/yHK+7j2aFmpuKIK1GkS&#10;AgRMPKe5pHdSLs6c9Gt//ZzcB4yhPaD1IXVi+2f7d7YvLg+NYTuFvgZb8PHJiDNlJZS13RT8x9Pq&#10;y4wzH4QthQGrCn5Unl8uPn+62Lu5yqECUypkBGL9fO8KXoXg5lnmZaUa4U/AKUtKDdiIQFfcZCWK&#10;PaE3JstHo7NsD1g6BKm8p9frVskXCV9rJcOd1l4FZgpOuYV0YjrX8cwWF2K+QeGqWnZpiA9k0Yja&#10;UtAB6loEwbZY/wXV1BLBgw4nEpoMtK6lSjVQNePRm2oeK+FUqoXI8W6gyf8/WHm7u0dWlwXPObOi&#10;oU/0QKQJuzGK5ZGevfNzsnp099jdPImx1oPGJv5TFeyQKD0OlKpDYJIev86mk/MpMS9Jd5qfzkgm&#10;mOzF26EP3xQ0LAoFR4qemBS7Gx9a094kBvNg6nJVG5MuuFlfGWQ7QZ/3fLU8G8869D/MjP2YJ2UZ&#10;XbNIQVt0ksLRqAho7IPSxB2VmaeUU9eqISEhpbJh3KoqUao2z+mIfn2asc+jR6IkAUZkTfUN2B1A&#10;b9mC9NgtQZ19dFWp6Qfn0b8Sa50HjxQZbBicm9oCvgdgqKoucmvfk9RSE1laQ3mkzkJoR847uarp&#10;A98IH+4F0oxRT9DeCHd0aAP7gkMncVYB/nrvPdpT65OWsz3NbMH9z61AxZn5bmkozseTSRzydJlM&#10;v+Z0wdea9WuN3TZXQH0zpg3lZBKjfTC9qBGaZ1ovyxiVVMJKil1wGbC/XIV2l9CCkmq5TGY02E6E&#10;G/voZASPrMYGfjo8C3Rdlweaj1vo51vM3zR7axs9LSy3AXSdJuGF145vWgqpcboFFrfO63uyelmz&#10;i98AAAD//wMAUEsDBBQABgAIAAAAIQB4hhyq4AAAAAoBAAAPAAAAZHJzL2Rvd25yZXYueG1sTI9B&#10;T4NAEIXvJv6HzTTx1i4YaihladRojPGi2Jh427JTQNlZwi4U/73Tk95m5r28+V6+m20nJhx860hB&#10;vIpAIFXOtFQr2L8/LlMQPmgyunOECn7Qw664vMh1ZtyJ3nAqQy04hHymFTQh9JmUvmrQar9yPRJr&#10;RzdYHXgdamkGfeJw28nrKLqRVrfEHxrd432D1Xc5WgU43pVfyUP68Wknk7zu5cvx+WlQ6mox325B&#10;BJzDnxnO+IwOBTMd3EjGi07BMk25S+BhswZxNsTJhi8HBUm8Blnk8n+F4hcAAP//AwBQSwECLQAU&#10;AAYACAAAACEAtoM4kv4AAADhAQAAEwAAAAAAAAAAAAAAAAAAAAAAW0NvbnRlbnRfVHlwZXNdLnht&#10;bFBLAQItABQABgAIAAAAIQA4/SH/1gAAAJQBAAALAAAAAAAAAAAAAAAAAC8BAABfcmVscy8ucmVs&#10;c1BLAQItABQABgAIAAAAIQB4XVi8lQIAAK4FAAAOAAAAAAAAAAAAAAAAAC4CAABkcnMvZTJvRG9j&#10;LnhtbFBLAQItABQABgAIAAAAIQB4hhyq4AAAAAoBAAAPAAAAAAAAAAAAAAAAAO8EAABkcnMvZG93&#10;bnJldi54bWxQSwUGAAAAAAQABADzAAAA/AUAAAAA&#10;" fillcolor="#9fa618" strokecolor="#9fa618" strokeweight="2pt"/>
          </w:pict>
        </mc:Fallback>
      </mc:AlternateContent>
    </w:r>
    <w:r>
      <w:rPr>
        <w:rFonts w:ascii="Avenir 65 Medium" w:hAnsi="Avenir 65 Medium"/>
        <w:color w:val="000000" w:themeColor="text1"/>
      </w:rPr>
      <w:tab/>
    </w:r>
    <w:r>
      <w:rPr>
        <w:rFonts w:ascii="Avenir 65 Medium" w:hAnsi="Avenir 65 Medium"/>
        <w:color w:val="000000" w:themeColor="text1"/>
      </w:rPr>
      <w:tab/>
    </w:r>
    <w:hyperlink r:id="rId1" w:history="1">
      <w:r w:rsidRPr="001F1CA5">
        <w:rPr>
          <w:rStyle w:val="Hyperlink"/>
          <w:rFonts w:ascii="Avenir 65 Medium" w:hAnsi="Avenir 65 Medium"/>
          <w:color w:val="FFFFFF" w:themeColor="background1"/>
          <w:sz w:val="20"/>
          <w:szCs w:val="20"/>
          <w:u w:val="none"/>
        </w:rPr>
        <w:t>aicpa.org/FRC</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05E83" w14:textId="77777777" w:rsidR="009661DA" w:rsidRPr="00245322" w:rsidRDefault="009661DA" w:rsidP="00245322">
    <w:pPr>
      <w:pStyle w:val="Footer"/>
      <w:tabs>
        <w:tab w:val="clear" w:pos="4680"/>
        <w:tab w:val="clear" w:pos="9360"/>
        <w:tab w:val="center" w:pos="5310"/>
        <w:tab w:val="right" w:pos="10710"/>
      </w:tabs>
      <w:ind w:left="180" w:hanging="180"/>
      <w:rPr>
        <w:rFonts w:ascii="Avenir 65 Medium" w:hAnsi="Avenir 65 Medium"/>
        <w:color w:val="000000" w:themeColor="text1"/>
        <w:sz w:val="20"/>
        <w:szCs w:val="20"/>
      </w:rPr>
    </w:pPr>
    <w:r>
      <w:rPr>
        <w:rFonts w:ascii="Avenir 65 Medium" w:hAnsi="Avenir 65 Medium"/>
        <w:noProof/>
        <w:color w:val="000000" w:themeColor="text1"/>
      </w:rPr>
      <mc:AlternateContent>
        <mc:Choice Requires="wps">
          <w:drawing>
            <wp:anchor distT="0" distB="0" distL="114300" distR="114300" simplePos="0" relativeHeight="251663360" behindDoc="1" locked="0" layoutInCell="1" allowOverlap="1" wp14:anchorId="39A575F7" wp14:editId="1BAB4A7E">
              <wp:simplePos x="0" y="0"/>
              <wp:positionH relativeFrom="column">
                <wp:posOffset>-558800</wp:posOffset>
              </wp:positionH>
              <wp:positionV relativeFrom="paragraph">
                <wp:posOffset>-51847</wp:posOffset>
              </wp:positionV>
              <wp:extent cx="7854950" cy="323850"/>
              <wp:effectExtent l="0" t="0" r="12700" b="19050"/>
              <wp:wrapNone/>
              <wp:docPr id="5" name="Rectangle 5"/>
              <wp:cNvGraphicFramePr/>
              <a:graphic xmlns:a="http://schemas.openxmlformats.org/drawingml/2006/main">
                <a:graphicData uri="http://schemas.microsoft.com/office/word/2010/wordprocessingShape">
                  <wps:wsp>
                    <wps:cNvSpPr/>
                    <wps:spPr>
                      <a:xfrm>
                        <a:off x="0" y="0"/>
                        <a:ext cx="7854950" cy="323850"/>
                      </a:xfrm>
                      <a:prstGeom prst="rect">
                        <a:avLst/>
                      </a:prstGeom>
                      <a:solidFill>
                        <a:srgbClr val="9FA618"/>
                      </a:solidFill>
                      <a:ln>
                        <a:solidFill>
                          <a:srgbClr val="9FA61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 o:spid="_x0000_s1026" style="position:absolute;margin-left:-44pt;margin-top:-4.1pt;width:618.5pt;height:25.5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0fplQIAAK4FAAAOAAAAZHJzL2Uyb0RvYy54bWysVN9PGzEMfp+0/yHK+7i2tKxUXFEF6jQJ&#10;AQImntNc0jspF2dO2mv318/J/YAxtAe0PqRObH+2v7N9cXmoDdsr9BXYnI9PRpwpK6Go7DbnP57W&#10;X+ac+SBsIQxYlfOj8vxy+fnTReMWagIlmEIhIxDrF43LeRmCW2SZl6WqhT8BpywpNWAtAl1xmxUo&#10;GkKvTTYZjc6yBrBwCFJ5T6/XrZIvE77WSoY7rb0KzOSccgvpxHRu4pktL8Rii8KVlezSEB/IohaV&#10;paAD1LUIgu2w+guqriSCBx1OJNQZaF1JlWqgasajN9U8lsKpVAuR491Ak/9/sPJ2f4+sKnI+48yK&#10;mj7RA5Em7NYoNov0NM4vyOrR3WN38yTGWg8a6/hPVbBDovQ4UKoOgUl6/DqfTc9nxLwk3enkdE4y&#10;wWQv3g59+KagZlHIOVL0xKTY3/jQmvYmMZgHUxXryph0we3myiDbC/q85+vV2Xjeof9hZuzHPCnL&#10;6JpFCtqikxSORkVAYx+UJu6ozElKOXWtGhISUiobxq2qFIVq85yN6NenGfs8eiRKEmBE1lTfgN0B&#10;9JYtSI/dEtTZR1eVmn5wHv0rsdZ58EiRwYbBua4s4HsAhqrqIrf2PUktNZGlDRRH6iyEduS8k+uK&#10;PvCN8OFeIM0Y9QTtjXBHhzbQ5Bw6ibMS8Nd779GeWp+0nDU0szn3P3cCFWfmu6WhOB9Pp3HI02U6&#10;+zqhC77WbF5r7K6+AuqbMW0oJ5MY7YPpRY1QP9N6WcWopBJWUuycy4D95Sq0u4QWlFSrVTKjwXYi&#10;3NhHJyN4ZDU28NPhWaDrujzQfNxCP99i8abZW9voaWG1C6CrNAkvvHZ801JIjdMtsLh1Xt+T1cua&#10;Xf4GAAD//wMAUEsDBBQABgAIAAAAIQCwzySL3wAAAAoBAAAPAAAAZHJzL2Rvd25yZXYueG1sTI9B&#10;S8QwEIXvgv8hjOBtN91SJHabLiqKiBeti+At28y2XZtJSdJu/femJ73NzHu8+V6xm03PJnS+syRh&#10;s06AIdVWd9RI2H88rQQwHxRp1VtCCT/oYVdeXhQq1/ZM7zhVoWExhHyuJLQhDDnnvm7RKL+2A1LU&#10;jtYZFeLqGq6dOsdw0/M0SW64UR3FD60a8KHF+rsajQQc76tT9ig+v8yks7c9fz2+PDspr6/muy2w&#10;gHP4M8OCH9GhjEwHO5L2rJewEiJ2CcuQAlsMm+w2Xg4SslQALwv+v0L5CwAA//8DAFBLAQItABQA&#10;BgAIAAAAIQC2gziS/gAAAOEBAAATAAAAAAAAAAAAAAAAAAAAAABbQ29udGVudF9UeXBlc10ueG1s&#10;UEsBAi0AFAAGAAgAAAAhADj9If/WAAAAlAEAAAsAAAAAAAAAAAAAAAAALwEAAF9yZWxzLy5yZWxz&#10;UEsBAi0AFAAGAAgAAAAhAOGjR+mVAgAArgUAAA4AAAAAAAAAAAAAAAAALgIAAGRycy9lMm9Eb2Mu&#10;eG1sUEsBAi0AFAAGAAgAAAAhALDPJIvfAAAACgEAAA8AAAAAAAAAAAAAAAAA7wQAAGRycy9kb3du&#10;cmV2LnhtbFBLBQYAAAAABAAEAPMAAAD7BQAAAAA=&#10;" fillcolor="#9fa618" strokecolor="#9fa618" strokeweight="2pt"/>
          </w:pict>
        </mc:Fallback>
      </mc:AlternateContent>
    </w:r>
    <w:r>
      <w:rPr>
        <w:rFonts w:ascii="Avenir 65 Medium" w:hAnsi="Avenir 65 Medium"/>
        <w:color w:val="000000" w:themeColor="text1"/>
      </w:rPr>
      <w:tab/>
    </w:r>
    <w:r>
      <w:rPr>
        <w:rFonts w:ascii="Avenir 65 Medium" w:hAnsi="Avenir 65 Medium"/>
        <w:color w:val="000000" w:themeColor="text1"/>
      </w:rPr>
      <w:tab/>
    </w:r>
    <w:hyperlink r:id="rId1" w:history="1">
      <w:r w:rsidRPr="001F1CA5">
        <w:rPr>
          <w:rStyle w:val="Hyperlink"/>
          <w:rFonts w:ascii="Avenir 65 Medium" w:hAnsi="Avenir 65 Medium"/>
          <w:color w:val="FFFFFF" w:themeColor="background1"/>
          <w:sz w:val="20"/>
          <w:szCs w:val="20"/>
          <w:u w:val="none"/>
        </w:rPr>
        <w:t>aicpa.org/FRC</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274B87" w14:textId="77777777" w:rsidR="001B6FA8" w:rsidRDefault="001B6FA8" w:rsidP="00842342">
      <w:pPr>
        <w:spacing w:after="0" w:line="240" w:lineRule="auto"/>
      </w:pPr>
      <w:r>
        <w:separator/>
      </w:r>
    </w:p>
  </w:footnote>
  <w:footnote w:type="continuationSeparator" w:id="0">
    <w:p w14:paraId="1FC3350A" w14:textId="77777777" w:rsidR="001B6FA8" w:rsidRDefault="001B6FA8" w:rsidP="008423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D98C9" w14:textId="77777777" w:rsidR="009661DA" w:rsidRDefault="00C259FE">
    <w:pPr>
      <w:pStyle w:val="Header"/>
    </w:pPr>
    <w:r>
      <w:rPr>
        <w:rFonts w:ascii="Avenir 65 Medium" w:hAnsi="Avenir 65 Medium"/>
        <w:noProof/>
        <w:color w:val="000000" w:themeColor="text1"/>
      </w:rPr>
      <mc:AlternateContent>
        <mc:Choice Requires="wps">
          <w:drawing>
            <wp:anchor distT="0" distB="0" distL="114300" distR="114300" simplePos="0" relativeHeight="251667456" behindDoc="1" locked="0" layoutInCell="1" allowOverlap="1" wp14:anchorId="17034CB7" wp14:editId="74A2B5A9">
              <wp:simplePos x="0" y="0"/>
              <wp:positionH relativeFrom="column">
                <wp:posOffset>-554942</wp:posOffset>
              </wp:positionH>
              <wp:positionV relativeFrom="paragraph">
                <wp:posOffset>-144624</wp:posOffset>
              </wp:positionV>
              <wp:extent cx="7854950" cy="122555"/>
              <wp:effectExtent l="0" t="0" r="12700" b="10795"/>
              <wp:wrapNone/>
              <wp:docPr id="7" name="Rectangle 7"/>
              <wp:cNvGraphicFramePr/>
              <a:graphic xmlns:a="http://schemas.openxmlformats.org/drawingml/2006/main">
                <a:graphicData uri="http://schemas.microsoft.com/office/word/2010/wordprocessingShape">
                  <wps:wsp>
                    <wps:cNvSpPr/>
                    <wps:spPr>
                      <a:xfrm>
                        <a:off x="0" y="0"/>
                        <a:ext cx="7854950" cy="122555"/>
                      </a:xfrm>
                      <a:prstGeom prst="rect">
                        <a:avLst/>
                      </a:prstGeom>
                      <a:solidFill>
                        <a:srgbClr val="9FA618"/>
                      </a:solidFill>
                      <a:ln>
                        <a:solidFill>
                          <a:srgbClr val="9FA61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43.7pt;margin-top:-11.4pt;width:618.5pt;height:9.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MdclQIAAK4FAAAOAAAAZHJzL2Uyb0RvYy54bWysVEtv2zAMvg/YfxB0Xx0HcdMGdYqgRYYB&#10;RVu0HXpWZCkWIEsapcTJfv0o+dHHih2K5aCIIvmR/Ezy4vLQaLIX4JU1Jc1PJpQIw22lzLakP5/W&#10;384o8YGZimlrREmPwtPL5dcvF61biKmtra4EEAQxftG6ktYhuEWWeV6LhvkT64RBpbTQsIAibLMK&#10;WIvojc6mk8lp1lqoHFguvMfX605JlwlfSsHDnZReBKJLirmFdEI6N/HMlhdssQXmasX7NNgnsmiY&#10;Mhh0hLpmgZEdqL+gGsXBeivDCbdNZqVUXKQasJp88q6ax5o5kWpBcrwbafL/D5bf7u+BqKqkc0oM&#10;a/ATPSBpzGy1IPNIT+v8Aq0e3T30ksdrrPUgoYn/WAU5JEqPI6XiEAjHx/lZMTsvkHmOunw6LYoi&#10;gmYv3g58+C5sQ+KlpIDRE5Nsf+NDZzqYxGDealWtldZJgO3mSgPZM/y85+vVaX7Wo78x0+Zznphl&#10;dM0iBV3R6RaOWkRAbR6ERO6wzGlKOXWtGBNinAsT8k5Vs0p0eRYT/A1pxj6PHomSBBiRJdY3YvcA&#10;g2UHMmB3BPX20VWkph+dJ/9KrHMePVJka8Lo3Chj4SMAjVX1kTv7gaSOmsjSxlZH7Cyw3ch5x9cK&#10;P/AN8+GeAc4Y9gTujXCHh9S2Lantb5TUFn5/9B7tsfVRS0mLM1tS/2vHQFCifxgcivN8NotDnoRZ&#10;MZ+iAK81m9cas2uuLPZNjhvK8XSN9kEPVwm2ecb1sopRUcUMx9gl5QEG4Sp0uwQXFBerVTLDwXYs&#10;3JhHxyN4ZDU28NPhmYHruzzgfNzaYb7Z4l2zd7bR09jVLlip0iS88NrzjUshNU6/wOLWeS0nq5c1&#10;u/wDAAD//wMAUEsDBBQABgAIAAAAIQDrEo0B4QAAAAsBAAAPAAAAZHJzL2Rvd25yZXYueG1sTI9B&#10;T4NAEIXvJv6HzZh4a5ciVkSWRo3GGC+KjYm3LTsFlJ0l7ELx3zs96W1m3sub7+Wb2XZiwsG3jhSs&#10;lhEIpMqZlmoF2/fHRQrCB01Gd45QwQ962BSnJ7nOjDvQG05lqAWHkM+0giaEPpPSVw1a7ZeuR2Jt&#10;7warA69DLc2gDxxuOxlH0Vpa3RJ/aHSP9w1W3+VoFeB4V34lD+nHp51M8rqVL/vnp0Gp87P59gZE&#10;wDn8meGIz+hQMNPOjWS86BQs0quErTzEMXc4OlbJ9RrEjk8XlyCLXP7vUPwCAAD//wMAUEsBAi0A&#10;FAAGAAgAAAAhALaDOJL+AAAA4QEAABMAAAAAAAAAAAAAAAAAAAAAAFtDb250ZW50X1R5cGVzXS54&#10;bWxQSwECLQAUAAYACAAAACEAOP0h/9YAAACUAQAACwAAAAAAAAAAAAAAAAAvAQAAX3JlbHMvLnJl&#10;bHNQSwECLQAUAAYACAAAACEAAdTHXJUCAACuBQAADgAAAAAAAAAAAAAAAAAuAgAAZHJzL2Uyb0Rv&#10;Yy54bWxQSwECLQAUAAYACAAAACEA6xKNAeEAAAALAQAADwAAAAAAAAAAAAAAAADvBAAAZHJzL2Rv&#10;d25yZXYueG1sUEsFBgAAAAAEAAQA8wAAAP0FAAAAAA==&#10;" fillcolor="#9fa618" strokecolor="#9fa618" strokeweight="2pt"/>
          </w:pict>
        </mc:Fallback>
      </mc:AlternateContent>
    </w:r>
  </w:p>
  <w:p w14:paraId="095B3971" w14:textId="77777777" w:rsidR="009661DA" w:rsidRDefault="009661DA">
    <w:pPr>
      <w:pStyle w:val="Header"/>
    </w:pPr>
  </w:p>
  <w:p w14:paraId="0BB75AD4" w14:textId="77777777" w:rsidR="009661DA" w:rsidRDefault="009661DA">
    <w:pPr>
      <w:pStyle w:val="Header"/>
    </w:pPr>
  </w:p>
  <w:p w14:paraId="14242207" w14:textId="77777777" w:rsidR="009661DA" w:rsidRDefault="009661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63228" w14:textId="77777777" w:rsidR="009661DA" w:rsidRDefault="009661DA">
    <w:pPr>
      <w:pStyle w:val="Header"/>
    </w:pPr>
    <w:r>
      <w:rPr>
        <w:rFonts w:ascii="Avenir 65 Medium" w:hAnsi="Avenir 65 Medium"/>
        <w:noProof/>
        <w:color w:val="000000" w:themeColor="text1"/>
      </w:rPr>
      <mc:AlternateContent>
        <mc:Choice Requires="wps">
          <w:drawing>
            <wp:anchor distT="0" distB="0" distL="114300" distR="114300" simplePos="0" relativeHeight="251661312" behindDoc="1" locked="0" layoutInCell="1" allowOverlap="1" wp14:anchorId="2120028B" wp14:editId="640E426B">
              <wp:simplePos x="0" y="0"/>
              <wp:positionH relativeFrom="column">
                <wp:posOffset>-622300</wp:posOffset>
              </wp:positionH>
              <wp:positionV relativeFrom="paragraph">
                <wp:posOffset>-495300</wp:posOffset>
              </wp:positionV>
              <wp:extent cx="7854950" cy="136525"/>
              <wp:effectExtent l="0" t="0" r="12700" b="15875"/>
              <wp:wrapNone/>
              <wp:docPr id="4" name="Rectangle 4"/>
              <wp:cNvGraphicFramePr/>
              <a:graphic xmlns:a="http://schemas.openxmlformats.org/drawingml/2006/main">
                <a:graphicData uri="http://schemas.microsoft.com/office/word/2010/wordprocessingShape">
                  <wps:wsp>
                    <wps:cNvSpPr/>
                    <wps:spPr>
                      <a:xfrm>
                        <a:off x="0" y="0"/>
                        <a:ext cx="7854950" cy="136525"/>
                      </a:xfrm>
                      <a:prstGeom prst="rect">
                        <a:avLst/>
                      </a:prstGeom>
                      <a:solidFill>
                        <a:srgbClr val="9FA618"/>
                      </a:solidFill>
                      <a:ln>
                        <a:solidFill>
                          <a:srgbClr val="9FA61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49pt;margin-top:-39pt;width:618.5pt;height:10.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CaClgIAAK4FAAAOAAAAZHJzL2Uyb0RvYy54bWysVEtv2zAMvg/YfxB0Xx1nSR9BnSJokWFA&#10;0QZth54VWUoMyKJGKXGyXz9KfrTrih2K5aCIIvmR/Ezy8upQG7ZX6CuwBc9PRpwpK6Gs7KbgP56W&#10;X84580HYUhiwquBH5fnV/POny8bN1Bi2YEqFjECsnzWu4NsQ3CzLvNyqWvgTcMqSUgPWIpCIm6xE&#10;0RB6bbLxaHSaNYClQ5DKe3q9aZV8nvC1VjLca+1VYKbglFtIJ6ZzHc9sfilmGxRuW8kuDfGBLGpR&#10;WQo6QN2IINgOq7+g6koieNDhREKdgdaVVKkGqiYfvanmcSucSrUQOd4NNPn/Byvv9itkVVnwCWdW&#10;1PSJHog0YTdGsUmkp3F+RlaPboWd5Okaaz1orOM/VcEOidLjQKk6BCbp8ex8OrmYEvOSdPnX0+l4&#10;GkGzF2+HPnxTULN4KThS9MSk2N/60Jr2JjGYB1OVy8qYJOBmfW2Q7QV93ovl4jQ/79D/MDP2Y56U&#10;ZXTNIgVt0ekWjkZFQGMflCbuqMxxSjl1rRoSElIqG/JWtRWlavOcjujXpxn7PHokShJgRNZU34Dd&#10;AfSWLUiP3RLU2UdXlZp+cB79K7HWefBIkcGGwbmuLOB7AIaq6iK39j1JLTWRpTWUR+oshHbkvJPL&#10;ij7wrfBhJZBmjHqC9ka4p0MbaAoO3Y2zLeCv996jPbU+aTlraGYL7n/uBCrOzHdLQ3GRTyZxyJMw&#10;mZ6NScDXmvVrjd3V10B9k9OGcjJdo30w/VUj1M+0XhYxKqmElRS74DJgL1yHdpfQgpJqsUhmNNhO&#10;hFv76GQEj6zGBn46PAt0XZcHmo876OdbzN40e2sbPS0sdgF0lSbhhdeOb1oKqXG6BRa3zms5Wb2s&#10;2flvAAAA//8DAFBLAwQUAAYACAAAACEABK9Nw+EAAAAMAQAADwAAAGRycy9kb3ducmV2LnhtbEyP&#10;QU/DMAyF70j8h8hI3LZ0sI2uNJ0AgdDEBcqExC1rvLbQOFWTduXf457g9mw/PX8v3Y62EQN2vnak&#10;YDGPQCAVztRUKti/P81iED5oMrpxhAp+0MM2Oz9LdWLcid5wyEMpOIR8ohVUIbSJlL6o0Go/dy0S&#10;346uszrw2JXSdPrE4baRV1G0llbXxB8q3eJDhcV33lsF2N/nX8vH+OPTDmb5upcvx91zp9TlxXh3&#10;CyLgGP7MMOEzOmTMdHA9GS8aBbNNzF0Ci5tJTI7F9YbVgVer9Qpklsr/JbJfAAAA//8DAFBLAQIt&#10;ABQABgAIAAAAIQC2gziS/gAAAOEBAAATAAAAAAAAAAAAAAAAAAAAAABbQ29udGVudF9UeXBlc10u&#10;eG1sUEsBAi0AFAAGAAgAAAAhADj9If/WAAAAlAEAAAsAAAAAAAAAAAAAAAAALwEAAF9yZWxzLy5y&#10;ZWxzUEsBAi0AFAAGAAgAAAAhAPSsJoKWAgAArgUAAA4AAAAAAAAAAAAAAAAALgIAAGRycy9lMm9E&#10;b2MueG1sUEsBAi0AFAAGAAgAAAAhAASvTcPhAAAADAEAAA8AAAAAAAAAAAAAAAAA8AQAAGRycy9k&#10;b3ducmV2LnhtbFBLBQYAAAAABAAEAPMAAAD+BQAAAAA=&#10;" fillcolor="#9fa618" strokecolor="#9fa618"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B12C1"/>
    <w:multiLevelType w:val="hybridMultilevel"/>
    <w:tmpl w:val="DA7C78BC"/>
    <w:lvl w:ilvl="0" w:tplc="5608FFBA">
      <w:start w:val="1"/>
      <w:numFmt w:val="upperRoman"/>
      <w:pStyle w:val="TISList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EE9127F"/>
    <w:multiLevelType w:val="hybridMultilevel"/>
    <w:tmpl w:val="3990DCC2"/>
    <w:lvl w:ilvl="0" w:tplc="A278547A">
      <w:start w:val="1"/>
      <w:numFmt w:val="bullet"/>
      <w:pStyle w:val="TISListBullet"/>
      <w:lvlText w:val=""/>
      <w:lvlJc w:val="left"/>
      <w:pPr>
        <w:ind w:left="360" w:hanging="360"/>
      </w:pPr>
      <w:rPr>
        <w:rFonts w:ascii="Avenir 45 Book" w:hAnsi="Avenir 45 Book"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1B8383C"/>
    <w:multiLevelType w:val="hybridMultilevel"/>
    <w:tmpl w:val="7C205ED0"/>
    <w:lvl w:ilvl="0" w:tplc="DE2823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9C37AD"/>
    <w:multiLevelType w:val="hybridMultilevel"/>
    <w:tmpl w:val="8FDA1DB8"/>
    <w:lvl w:ilvl="0" w:tplc="A446C2CA">
      <w:start w:val="1"/>
      <w:numFmt w:val="decimal"/>
      <w:pStyle w:val="TISListNumbere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BE31142"/>
    <w:multiLevelType w:val="hybridMultilevel"/>
    <w:tmpl w:val="9CEEC690"/>
    <w:lvl w:ilvl="0" w:tplc="A5A661F6">
      <w:numFmt w:val="bullet"/>
      <w:lvlText w:val="•"/>
      <w:lvlJc w:val="left"/>
      <w:pPr>
        <w:ind w:left="1080" w:hanging="720"/>
      </w:pPr>
      <w:rPr>
        <w:rFonts w:ascii="Avenir 45 Book" w:eastAsiaTheme="minorHAnsi" w:hAnsi="Avenir 45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FAD"/>
    <w:rsid w:val="0003688B"/>
    <w:rsid w:val="00037E42"/>
    <w:rsid w:val="000449D9"/>
    <w:rsid w:val="00096EE5"/>
    <w:rsid w:val="000E300A"/>
    <w:rsid w:val="001019B7"/>
    <w:rsid w:val="00106CA2"/>
    <w:rsid w:val="001241E8"/>
    <w:rsid w:val="00124294"/>
    <w:rsid w:val="001B6FA8"/>
    <w:rsid w:val="001D7957"/>
    <w:rsid w:val="001E0761"/>
    <w:rsid w:val="001F1CA5"/>
    <w:rsid w:val="00205E9F"/>
    <w:rsid w:val="00245322"/>
    <w:rsid w:val="0025290C"/>
    <w:rsid w:val="002533A4"/>
    <w:rsid w:val="002737EF"/>
    <w:rsid w:val="002B0B9C"/>
    <w:rsid w:val="002D022A"/>
    <w:rsid w:val="002E3807"/>
    <w:rsid w:val="00343EC6"/>
    <w:rsid w:val="00364286"/>
    <w:rsid w:val="00390F88"/>
    <w:rsid w:val="003A77A1"/>
    <w:rsid w:val="003C5B34"/>
    <w:rsid w:val="003C6E46"/>
    <w:rsid w:val="00410202"/>
    <w:rsid w:val="00420213"/>
    <w:rsid w:val="004B50C6"/>
    <w:rsid w:val="0051002F"/>
    <w:rsid w:val="00532A82"/>
    <w:rsid w:val="005370BC"/>
    <w:rsid w:val="00547F17"/>
    <w:rsid w:val="00590568"/>
    <w:rsid w:val="005B52B1"/>
    <w:rsid w:val="005F1052"/>
    <w:rsid w:val="00604206"/>
    <w:rsid w:val="00643DEA"/>
    <w:rsid w:val="006756FF"/>
    <w:rsid w:val="00676E96"/>
    <w:rsid w:val="0068002F"/>
    <w:rsid w:val="006D22D2"/>
    <w:rsid w:val="008316EF"/>
    <w:rsid w:val="00842342"/>
    <w:rsid w:val="008B036D"/>
    <w:rsid w:val="008D3B28"/>
    <w:rsid w:val="008E7E76"/>
    <w:rsid w:val="009051C4"/>
    <w:rsid w:val="0091187B"/>
    <w:rsid w:val="00911F64"/>
    <w:rsid w:val="00923304"/>
    <w:rsid w:val="00951D0F"/>
    <w:rsid w:val="00961EF3"/>
    <w:rsid w:val="009661DA"/>
    <w:rsid w:val="009902C5"/>
    <w:rsid w:val="00993A8E"/>
    <w:rsid w:val="00995FE5"/>
    <w:rsid w:val="009A3FAD"/>
    <w:rsid w:val="009B62EE"/>
    <w:rsid w:val="009C48DE"/>
    <w:rsid w:val="009D6A84"/>
    <w:rsid w:val="00A03089"/>
    <w:rsid w:val="00A062A0"/>
    <w:rsid w:val="00AA24D9"/>
    <w:rsid w:val="00AA4AE9"/>
    <w:rsid w:val="00AE79BC"/>
    <w:rsid w:val="00B01D9C"/>
    <w:rsid w:val="00B021A9"/>
    <w:rsid w:val="00B13D79"/>
    <w:rsid w:val="00B21EF2"/>
    <w:rsid w:val="00B640E1"/>
    <w:rsid w:val="00B64A87"/>
    <w:rsid w:val="00BF0CB4"/>
    <w:rsid w:val="00BF4E7D"/>
    <w:rsid w:val="00C166CB"/>
    <w:rsid w:val="00C259FE"/>
    <w:rsid w:val="00C77C60"/>
    <w:rsid w:val="00CB05F4"/>
    <w:rsid w:val="00CD1BAD"/>
    <w:rsid w:val="00CE5305"/>
    <w:rsid w:val="00D11B23"/>
    <w:rsid w:val="00D20353"/>
    <w:rsid w:val="00D26E48"/>
    <w:rsid w:val="00D4263D"/>
    <w:rsid w:val="00D4779D"/>
    <w:rsid w:val="00D865E2"/>
    <w:rsid w:val="00D8682D"/>
    <w:rsid w:val="00DA2E6A"/>
    <w:rsid w:val="00DE0A6D"/>
    <w:rsid w:val="00DF3492"/>
    <w:rsid w:val="00DF7709"/>
    <w:rsid w:val="00E30606"/>
    <w:rsid w:val="00E62D1B"/>
    <w:rsid w:val="00EB1650"/>
    <w:rsid w:val="00F12C9B"/>
    <w:rsid w:val="00F359DC"/>
    <w:rsid w:val="00F71A91"/>
    <w:rsid w:val="00FC1911"/>
    <w:rsid w:val="00FE5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86B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6C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CA2"/>
    <w:rPr>
      <w:rFonts w:ascii="Tahoma" w:hAnsi="Tahoma" w:cs="Tahoma"/>
      <w:sz w:val="16"/>
      <w:szCs w:val="16"/>
    </w:rPr>
  </w:style>
  <w:style w:type="table" w:styleId="TableGrid">
    <w:name w:val="Table Grid"/>
    <w:basedOn w:val="TableNormal"/>
    <w:uiPriority w:val="59"/>
    <w:rsid w:val="00037E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SDate">
    <w:name w:val="TIS Date"/>
    <w:basedOn w:val="Normal"/>
    <w:link w:val="TISDateChar"/>
    <w:rsid w:val="00961EF3"/>
    <w:pPr>
      <w:tabs>
        <w:tab w:val="left" w:pos="3020"/>
        <w:tab w:val="right" w:pos="5094"/>
      </w:tabs>
      <w:spacing w:before="40" w:after="0" w:line="240" w:lineRule="auto"/>
    </w:pPr>
    <w:rPr>
      <w:rFonts w:ascii="Avenir-Book" w:hAnsi="Avenir-Book" w:cs="Avenir-Book"/>
      <w:color w:val="262626" w:themeColor="text1" w:themeTint="D9"/>
      <w:sz w:val="18"/>
      <w:szCs w:val="16"/>
    </w:rPr>
  </w:style>
  <w:style w:type="paragraph" w:customStyle="1" w:styleId="TISCatagory">
    <w:name w:val="TIS Catagory"/>
    <w:basedOn w:val="Normal"/>
    <w:link w:val="TISCatagoryChar"/>
    <w:qFormat/>
    <w:rsid w:val="006D22D2"/>
    <w:pPr>
      <w:spacing w:before="40" w:after="0" w:line="240" w:lineRule="auto"/>
      <w:jc w:val="right"/>
    </w:pPr>
    <w:rPr>
      <w:rFonts w:ascii="Avenir-Roman" w:hAnsi="Avenir-Roman" w:cs="Avenir-Roman"/>
      <w:color w:val="83B100"/>
      <w:sz w:val="38"/>
      <w:szCs w:val="38"/>
    </w:rPr>
  </w:style>
  <w:style w:type="character" w:customStyle="1" w:styleId="TISDateChar">
    <w:name w:val="TIS Date Char"/>
    <w:basedOn w:val="DefaultParagraphFont"/>
    <w:link w:val="TISDate"/>
    <w:rsid w:val="00961EF3"/>
    <w:rPr>
      <w:rFonts w:ascii="Avenir-Book" w:hAnsi="Avenir-Book" w:cs="Avenir-Book"/>
      <w:color w:val="262626" w:themeColor="text1" w:themeTint="D9"/>
      <w:sz w:val="18"/>
      <w:szCs w:val="16"/>
    </w:rPr>
  </w:style>
  <w:style w:type="paragraph" w:customStyle="1" w:styleId="TISTitle">
    <w:name w:val="TIS Title"/>
    <w:basedOn w:val="Normal"/>
    <w:link w:val="TISTitleChar"/>
    <w:qFormat/>
    <w:rsid w:val="005F1052"/>
    <w:pPr>
      <w:autoSpaceDE w:val="0"/>
      <w:autoSpaceDN w:val="0"/>
      <w:adjustRightInd w:val="0"/>
      <w:spacing w:before="1520" w:after="0" w:line="240" w:lineRule="auto"/>
    </w:pPr>
    <w:rPr>
      <w:rFonts w:ascii="Avenir 55 Roman" w:hAnsi="Avenir 55 Roman" w:cs="Avenir-Heavy"/>
      <w:b/>
      <w:color w:val="737373"/>
      <w:sz w:val="48"/>
      <w:szCs w:val="48"/>
    </w:rPr>
  </w:style>
  <w:style w:type="character" w:customStyle="1" w:styleId="TISCatagoryChar">
    <w:name w:val="TIS Catagory Char"/>
    <w:basedOn w:val="DefaultParagraphFont"/>
    <w:link w:val="TISCatagory"/>
    <w:rsid w:val="006D22D2"/>
    <w:rPr>
      <w:rFonts w:ascii="Avenir-Roman" w:hAnsi="Avenir-Roman" w:cs="Avenir-Roman"/>
      <w:color w:val="83B100"/>
      <w:sz w:val="38"/>
      <w:szCs w:val="38"/>
    </w:rPr>
  </w:style>
  <w:style w:type="paragraph" w:customStyle="1" w:styleId="TISPara">
    <w:name w:val="TIS Para"/>
    <w:basedOn w:val="Normal"/>
    <w:link w:val="TISParaChar"/>
    <w:qFormat/>
    <w:rsid w:val="00911F64"/>
    <w:pPr>
      <w:autoSpaceDE w:val="0"/>
      <w:autoSpaceDN w:val="0"/>
      <w:adjustRightInd w:val="0"/>
      <w:spacing w:before="120" w:after="0"/>
      <w:ind w:right="2246"/>
    </w:pPr>
    <w:rPr>
      <w:rFonts w:ascii="Avenir 45 Book" w:hAnsi="Avenir 45 Book" w:cs="Avenir-BookOblique"/>
      <w:iCs/>
      <w:color w:val="0D0D0D" w:themeColor="text1" w:themeTint="F2"/>
      <w:sz w:val="19"/>
      <w:szCs w:val="19"/>
    </w:rPr>
  </w:style>
  <w:style w:type="character" w:customStyle="1" w:styleId="TISTitleChar">
    <w:name w:val="TIS Title Char"/>
    <w:basedOn w:val="DefaultParagraphFont"/>
    <w:link w:val="TISTitle"/>
    <w:rsid w:val="005F1052"/>
    <w:rPr>
      <w:rFonts w:ascii="Avenir 55 Roman" w:hAnsi="Avenir 55 Roman" w:cs="Avenir-Heavy"/>
      <w:b/>
      <w:color w:val="737373"/>
      <w:sz w:val="48"/>
      <w:szCs w:val="48"/>
    </w:rPr>
  </w:style>
  <w:style w:type="paragraph" w:styleId="FootnoteText">
    <w:name w:val="footnote text"/>
    <w:basedOn w:val="Normal"/>
    <w:link w:val="FootnoteTextChar"/>
    <w:uiPriority w:val="99"/>
    <w:unhideWhenUsed/>
    <w:rsid w:val="00CD1BAD"/>
    <w:pPr>
      <w:spacing w:after="0" w:line="240" w:lineRule="auto"/>
      <w:ind w:left="187" w:right="2246" w:hanging="187"/>
    </w:pPr>
    <w:rPr>
      <w:rFonts w:ascii="Avenir 45 Book" w:hAnsi="Avenir 45 Book"/>
      <w:color w:val="404040" w:themeColor="text1" w:themeTint="BF"/>
      <w:sz w:val="17"/>
      <w:szCs w:val="18"/>
    </w:rPr>
  </w:style>
  <w:style w:type="character" w:customStyle="1" w:styleId="TISParaChar">
    <w:name w:val="TIS Para Char"/>
    <w:basedOn w:val="DefaultParagraphFont"/>
    <w:link w:val="TISPara"/>
    <w:rsid w:val="00911F64"/>
    <w:rPr>
      <w:rFonts w:ascii="Avenir 45 Book" w:hAnsi="Avenir 45 Book" w:cs="Avenir-BookOblique"/>
      <w:iCs/>
      <w:color w:val="0D0D0D" w:themeColor="text1" w:themeTint="F2"/>
      <w:sz w:val="19"/>
      <w:szCs w:val="19"/>
    </w:rPr>
  </w:style>
  <w:style w:type="character" w:customStyle="1" w:styleId="FootnoteTextChar">
    <w:name w:val="Footnote Text Char"/>
    <w:basedOn w:val="DefaultParagraphFont"/>
    <w:link w:val="FootnoteText"/>
    <w:uiPriority w:val="99"/>
    <w:rsid w:val="00CD1BAD"/>
    <w:rPr>
      <w:rFonts w:ascii="Avenir 45 Book" w:hAnsi="Avenir 45 Book"/>
      <w:color w:val="404040" w:themeColor="text1" w:themeTint="BF"/>
      <w:sz w:val="17"/>
      <w:szCs w:val="18"/>
    </w:rPr>
  </w:style>
  <w:style w:type="character" w:styleId="FootnoteReference">
    <w:name w:val="footnote reference"/>
    <w:basedOn w:val="DefaultParagraphFont"/>
    <w:uiPriority w:val="99"/>
    <w:semiHidden/>
    <w:unhideWhenUsed/>
    <w:rsid w:val="00842342"/>
    <w:rPr>
      <w:vertAlign w:val="superscript"/>
    </w:rPr>
  </w:style>
  <w:style w:type="paragraph" w:styleId="Header">
    <w:name w:val="header"/>
    <w:basedOn w:val="Normal"/>
    <w:link w:val="HeaderChar"/>
    <w:uiPriority w:val="99"/>
    <w:unhideWhenUsed/>
    <w:rsid w:val="002737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7EF"/>
  </w:style>
  <w:style w:type="paragraph" w:styleId="Footer">
    <w:name w:val="footer"/>
    <w:basedOn w:val="Normal"/>
    <w:link w:val="FooterChar"/>
    <w:uiPriority w:val="99"/>
    <w:unhideWhenUsed/>
    <w:rsid w:val="002737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7EF"/>
  </w:style>
  <w:style w:type="paragraph" w:customStyle="1" w:styleId="TISPara-Center">
    <w:name w:val="TIS Para - Center"/>
    <w:basedOn w:val="TISPara"/>
    <w:link w:val="TISPara-CenterChar"/>
    <w:qFormat/>
    <w:rsid w:val="001F1CA5"/>
    <w:pPr>
      <w:jc w:val="center"/>
    </w:pPr>
  </w:style>
  <w:style w:type="character" w:styleId="Hyperlink">
    <w:name w:val="Hyperlink"/>
    <w:basedOn w:val="DefaultParagraphFont"/>
    <w:uiPriority w:val="99"/>
    <w:unhideWhenUsed/>
    <w:rsid w:val="001F1CA5"/>
    <w:rPr>
      <w:color w:val="0000FF" w:themeColor="hyperlink"/>
      <w:u w:val="single"/>
    </w:rPr>
  </w:style>
  <w:style w:type="character" w:customStyle="1" w:styleId="TISPara-CenterChar">
    <w:name w:val="TIS Para - Center Char"/>
    <w:basedOn w:val="TISParaChar"/>
    <w:link w:val="TISPara-Center"/>
    <w:rsid w:val="001F1CA5"/>
    <w:rPr>
      <w:rFonts w:ascii="Avenir 45 Book" w:hAnsi="Avenir 45 Book" w:cs="Avenir-BookOblique"/>
      <w:iCs/>
      <w:color w:val="030303"/>
      <w:sz w:val="18"/>
      <w:szCs w:val="19"/>
    </w:rPr>
  </w:style>
  <w:style w:type="paragraph" w:customStyle="1" w:styleId="TISSubtitle">
    <w:name w:val="TIS Subtitle"/>
    <w:basedOn w:val="Normal"/>
    <w:link w:val="TISSubtitleChar"/>
    <w:qFormat/>
    <w:rsid w:val="005F1052"/>
    <w:pPr>
      <w:autoSpaceDE w:val="0"/>
      <w:autoSpaceDN w:val="0"/>
      <w:adjustRightInd w:val="0"/>
      <w:spacing w:before="120" w:after="0" w:line="240" w:lineRule="auto"/>
    </w:pPr>
    <w:rPr>
      <w:rFonts w:ascii="Avenir 55 Roman" w:hAnsi="Avenir 55 Roman" w:cs="Avenir-Heavy"/>
      <w:b/>
      <w:color w:val="737373"/>
      <w:sz w:val="36"/>
      <w:szCs w:val="36"/>
    </w:rPr>
  </w:style>
  <w:style w:type="paragraph" w:customStyle="1" w:styleId="TISDiscl-Copy">
    <w:name w:val="TIS Discl-Copy"/>
    <w:basedOn w:val="TISPara"/>
    <w:link w:val="TISDiscl-CopyChar"/>
    <w:qFormat/>
    <w:rsid w:val="00923304"/>
    <w:pPr>
      <w:ind w:right="0"/>
    </w:pPr>
    <w:rPr>
      <w:color w:val="404040" w:themeColor="text1" w:themeTint="BF"/>
      <w:sz w:val="12"/>
      <w:szCs w:val="12"/>
    </w:rPr>
  </w:style>
  <w:style w:type="character" w:customStyle="1" w:styleId="TISSubtitleChar">
    <w:name w:val="TIS Subtitle Char"/>
    <w:basedOn w:val="DefaultParagraphFont"/>
    <w:link w:val="TISSubtitle"/>
    <w:rsid w:val="005F1052"/>
    <w:rPr>
      <w:rFonts w:ascii="Avenir 55 Roman" w:hAnsi="Avenir 55 Roman" w:cs="Avenir-Heavy"/>
      <w:b/>
      <w:color w:val="737373"/>
      <w:sz w:val="36"/>
      <w:szCs w:val="36"/>
    </w:rPr>
  </w:style>
  <w:style w:type="paragraph" w:customStyle="1" w:styleId="TISCharDisclDark">
    <w:name w:val="TIS (Char) Discl Dark"/>
    <w:basedOn w:val="TISDiscl-Copy"/>
    <w:link w:val="TISCharDisclDarkChar"/>
    <w:qFormat/>
    <w:rsid w:val="00961EF3"/>
    <w:rPr>
      <w:rFonts w:ascii="Avenir 55 Roman" w:hAnsi="Avenir 55 Roman"/>
      <w:color w:val="0D0D0D" w:themeColor="text1" w:themeTint="F2"/>
    </w:rPr>
  </w:style>
  <w:style w:type="character" w:customStyle="1" w:styleId="TISDiscl-CopyChar">
    <w:name w:val="TIS Discl-Copy Char"/>
    <w:basedOn w:val="TISParaChar"/>
    <w:link w:val="TISDiscl-Copy"/>
    <w:rsid w:val="00923304"/>
    <w:rPr>
      <w:rFonts w:ascii="Avenir 45 Book" w:hAnsi="Avenir 45 Book" w:cs="Avenir-BookOblique"/>
      <w:iCs/>
      <w:color w:val="404040" w:themeColor="text1" w:themeTint="BF"/>
      <w:sz w:val="12"/>
      <w:szCs w:val="12"/>
    </w:rPr>
  </w:style>
  <w:style w:type="paragraph" w:customStyle="1" w:styleId="TISCharLink">
    <w:name w:val="TIS (Char) Link"/>
    <w:basedOn w:val="TISDiscl-Copy"/>
    <w:link w:val="TISCharLinkChar"/>
    <w:qFormat/>
    <w:rsid w:val="00961EF3"/>
    <w:rPr>
      <w:color w:val="548DD4" w:themeColor="text2" w:themeTint="99"/>
    </w:rPr>
  </w:style>
  <w:style w:type="character" w:customStyle="1" w:styleId="TISCharDisclDarkChar">
    <w:name w:val="TIS (Char) Discl Dark Char"/>
    <w:basedOn w:val="TISDiscl-CopyChar"/>
    <w:link w:val="TISCharDisclDark"/>
    <w:rsid w:val="00961EF3"/>
    <w:rPr>
      <w:rFonts w:ascii="Avenir 55 Roman" w:hAnsi="Avenir 55 Roman" w:cs="Avenir-BookOblique"/>
      <w:iCs/>
      <w:color w:val="0D0D0D" w:themeColor="text1" w:themeTint="F2"/>
      <w:sz w:val="12"/>
      <w:szCs w:val="12"/>
    </w:rPr>
  </w:style>
  <w:style w:type="character" w:styleId="IntenseReference">
    <w:name w:val="Intense Reference"/>
    <w:uiPriority w:val="32"/>
    <w:rsid w:val="00961EF3"/>
  </w:style>
  <w:style w:type="character" w:customStyle="1" w:styleId="TISCharLinkChar">
    <w:name w:val="TIS (Char) Link Char"/>
    <w:basedOn w:val="TISDiscl-CopyChar"/>
    <w:link w:val="TISCharLink"/>
    <w:rsid w:val="00961EF3"/>
    <w:rPr>
      <w:rFonts w:ascii="Avenir 45 Book" w:hAnsi="Avenir 45 Book" w:cs="Avenir-BookOblique"/>
      <w:iCs/>
      <w:color w:val="548DD4" w:themeColor="text2" w:themeTint="99"/>
      <w:sz w:val="12"/>
      <w:szCs w:val="12"/>
    </w:rPr>
  </w:style>
  <w:style w:type="character" w:styleId="Emphasis">
    <w:name w:val="Emphasis"/>
    <w:basedOn w:val="DefaultParagraphFont"/>
    <w:uiPriority w:val="20"/>
    <w:qFormat/>
    <w:rsid w:val="0003688B"/>
    <w:rPr>
      <w:i/>
      <w:iCs/>
    </w:rPr>
  </w:style>
  <w:style w:type="paragraph" w:customStyle="1" w:styleId="TISListNumbered">
    <w:name w:val="TIS List Numbered"/>
    <w:basedOn w:val="TISPara"/>
    <w:link w:val="TISListNumberedChar"/>
    <w:qFormat/>
    <w:rsid w:val="00C77C60"/>
    <w:pPr>
      <w:numPr>
        <w:numId w:val="1"/>
      </w:numPr>
      <w:spacing w:before="60"/>
    </w:pPr>
  </w:style>
  <w:style w:type="paragraph" w:customStyle="1" w:styleId="TISListBullet">
    <w:name w:val="TIS List Bullet"/>
    <w:basedOn w:val="TISListNumbered"/>
    <w:link w:val="TISListBulletChar"/>
    <w:qFormat/>
    <w:rsid w:val="00C77C60"/>
    <w:pPr>
      <w:numPr>
        <w:numId w:val="2"/>
      </w:numPr>
    </w:pPr>
  </w:style>
  <w:style w:type="character" w:customStyle="1" w:styleId="TISListNumberedChar">
    <w:name w:val="TIS List Numbered Char"/>
    <w:basedOn w:val="TISParaChar"/>
    <w:link w:val="TISListNumbered"/>
    <w:rsid w:val="00C77C60"/>
    <w:rPr>
      <w:rFonts w:ascii="Avenir 45 Book" w:hAnsi="Avenir 45 Book" w:cs="Avenir-BookOblique"/>
      <w:iCs/>
      <w:color w:val="0D0D0D" w:themeColor="text1" w:themeTint="F2"/>
      <w:sz w:val="19"/>
      <w:szCs w:val="19"/>
    </w:rPr>
  </w:style>
  <w:style w:type="paragraph" w:customStyle="1" w:styleId="TISListRoman">
    <w:name w:val="TIS List Roman"/>
    <w:basedOn w:val="TISListNumbered"/>
    <w:link w:val="TISListRomanChar"/>
    <w:qFormat/>
    <w:rsid w:val="002B0B9C"/>
    <w:pPr>
      <w:numPr>
        <w:numId w:val="3"/>
      </w:numPr>
      <w:ind w:hanging="90"/>
    </w:pPr>
  </w:style>
  <w:style w:type="character" w:customStyle="1" w:styleId="TISListBulletChar">
    <w:name w:val="TIS List Bullet Char"/>
    <w:basedOn w:val="TISListNumberedChar"/>
    <w:link w:val="TISListBullet"/>
    <w:rsid w:val="00C77C60"/>
    <w:rPr>
      <w:rFonts w:ascii="Avenir 45 Book" w:hAnsi="Avenir 45 Book" w:cs="Avenir-BookOblique"/>
      <w:iCs/>
      <w:color w:val="0D0D0D" w:themeColor="text1" w:themeTint="F2"/>
      <w:sz w:val="19"/>
      <w:szCs w:val="19"/>
    </w:rPr>
  </w:style>
  <w:style w:type="character" w:customStyle="1" w:styleId="TISListRomanChar">
    <w:name w:val="TIS List Roman Char"/>
    <w:basedOn w:val="TISListNumberedChar"/>
    <w:link w:val="TISListRoman"/>
    <w:rsid w:val="002B0B9C"/>
    <w:rPr>
      <w:rFonts w:ascii="Avenir 45 Book" w:hAnsi="Avenir 45 Book" w:cs="Avenir-BookOblique"/>
      <w:iCs/>
      <w:color w:val="0D0D0D" w:themeColor="text1" w:themeTint="F2"/>
      <w:sz w:val="19"/>
      <w:szCs w:val="19"/>
    </w:rPr>
  </w:style>
  <w:style w:type="character" w:styleId="FollowedHyperlink">
    <w:name w:val="FollowedHyperlink"/>
    <w:basedOn w:val="DefaultParagraphFont"/>
    <w:uiPriority w:val="99"/>
    <w:semiHidden/>
    <w:unhideWhenUsed/>
    <w:rsid w:val="00B640E1"/>
    <w:rPr>
      <w:color w:val="800080" w:themeColor="followedHyperlink"/>
      <w:u w:val="single"/>
    </w:rPr>
  </w:style>
  <w:style w:type="paragraph" w:styleId="ListParagraph">
    <w:name w:val="List Paragraph"/>
    <w:basedOn w:val="Normal"/>
    <w:uiPriority w:val="34"/>
    <w:qFormat/>
    <w:rsid w:val="001019B7"/>
    <w:pPr>
      <w:ind w:left="720"/>
      <w:contextualSpacing/>
    </w:pPr>
    <w:rPr>
      <w:rFonts w:eastAsiaTheme="minorEastAsia"/>
    </w:rPr>
  </w:style>
  <w:style w:type="character" w:styleId="CommentReference">
    <w:name w:val="annotation reference"/>
    <w:basedOn w:val="DefaultParagraphFont"/>
    <w:rsid w:val="001019B7"/>
    <w:rPr>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6C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CA2"/>
    <w:rPr>
      <w:rFonts w:ascii="Tahoma" w:hAnsi="Tahoma" w:cs="Tahoma"/>
      <w:sz w:val="16"/>
      <w:szCs w:val="16"/>
    </w:rPr>
  </w:style>
  <w:style w:type="table" w:styleId="TableGrid">
    <w:name w:val="Table Grid"/>
    <w:basedOn w:val="TableNormal"/>
    <w:uiPriority w:val="59"/>
    <w:rsid w:val="00037E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SDate">
    <w:name w:val="TIS Date"/>
    <w:basedOn w:val="Normal"/>
    <w:link w:val="TISDateChar"/>
    <w:rsid w:val="00961EF3"/>
    <w:pPr>
      <w:tabs>
        <w:tab w:val="left" w:pos="3020"/>
        <w:tab w:val="right" w:pos="5094"/>
      </w:tabs>
      <w:spacing w:before="40" w:after="0" w:line="240" w:lineRule="auto"/>
    </w:pPr>
    <w:rPr>
      <w:rFonts w:ascii="Avenir-Book" w:hAnsi="Avenir-Book" w:cs="Avenir-Book"/>
      <w:color w:val="262626" w:themeColor="text1" w:themeTint="D9"/>
      <w:sz w:val="18"/>
      <w:szCs w:val="16"/>
    </w:rPr>
  </w:style>
  <w:style w:type="paragraph" w:customStyle="1" w:styleId="TISCatagory">
    <w:name w:val="TIS Catagory"/>
    <w:basedOn w:val="Normal"/>
    <w:link w:val="TISCatagoryChar"/>
    <w:qFormat/>
    <w:rsid w:val="006D22D2"/>
    <w:pPr>
      <w:spacing w:before="40" w:after="0" w:line="240" w:lineRule="auto"/>
      <w:jc w:val="right"/>
    </w:pPr>
    <w:rPr>
      <w:rFonts w:ascii="Avenir-Roman" w:hAnsi="Avenir-Roman" w:cs="Avenir-Roman"/>
      <w:color w:val="83B100"/>
      <w:sz w:val="38"/>
      <w:szCs w:val="38"/>
    </w:rPr>
  </w:style>
  <w:style w:type="character" w:customStyle="1" w:styleId="TISDateChar">
    <w:name w:val="TIS Date Char"/>
    <w:basedOn w:val="DefaultParagraphFont"/>
    <w:link w:val="TISDate"/>
    <w:rsid w:val="00961EF3"/>
    <w:rPr>
      <w:rFonts w:ascii="Avenir-Book" w:hAnsi="Avenir-Book" w:cs="Avenir-Book"/>
      <w:color w:val="262626" w:themeColor="text1" w:themeTint="D9"/>
      <w:sz w:val="18"/>
      <w:szCs w:val="16"/>
    </w:rPr>
  </w:style>
  <w:style w:type="paragraph" w:customStyle="1" w:styleId="TISTitle">
    <w:name w:val="TIS Title"/>
    <w:basedOn w:val="Normal"/>
    <w:link w:val="TISTitleChar"/>
    <w:qFormat/>
    <w:rsid w:val="005F1052"/>
    <w:pPr>
      <w:autoSpaceDE w:val="0"/>
      <w:autoSpaceDN w:val="0"/>
      <w:adjustRightInd w:val="0"/>
      <w:spacing w:before="1520" w:after="0" w:line="240" w:lineRule="auto"/>
    </w:pPr>
    <w:rPr>
      <w:rFonts w:ascii="Avenir 55 Roman" w:hAnsi="Avenir 55 Roman" w:cs="Avenir-Heavy"/>
      <w:b/>
      <w:color w:val="737373"/>
      <w:sz w:val="48"/>
      <w:szCs w:val="48"/>
    </w:rPr>
  </w:style>
  <w:style w:type="character" w:customStyle="1" w:styleId="TISCatagoryChar">
    <w:name w:val="TIS Catagory Char"/>
    <w:basedOn w:val="DefaultParagraphFont"/>
    <w:link w:val="TISCatagory"/>
    <w:rsid w:val="006D22D2"/>
    <w:rPr>
      <w:rFonts w:ascii="Avenir-Roman" w:hAnsi="Avenir-Roman" w:cs="Avenir-Roman"/>
      <w:color w:val="83B100"/>
      <w:sz w:val="38"/>
      <w:szCs w:val="38"/>
    </w:rPr>
  </w:style>
  <w:style w:type="paragraph" w:customStyle="1" w:styleId="TISPara">
    <w:name w:val="TIS Para"/>
    <w:basedOn w:val="Normal"/>
    <w:link w:val="TISParaChar"/>
    <w:qFormat/>
    <w:rsid w:val="00911F64"/>
    <w:pPr>
      <w:autoSpaceDE w:val="0"/>
      <w:autoSpaceDN w:val="0"/>
      <w:adjustRightInd w:val="0"/>
      <w:spacing w:before="120" w:after="0"/>
      <w:ind w:right="2246"/>
    </w:pPr>
    <w:rPr>
      <w:rFonts w:ascii="Avenir 45 Book" w:hAnsi="Avenir 45 Book" w:cs="Avenir-BookOblique"/>
      <w:iCs/>
      <w:color w:val="0D0D0D" w:themeColor="text1" w:themeTint="F2"/>
      <w:sz w:val="19"/>
      <w:szCs w:val="19"/>
    </w:rPr>
  </w:style>
  <w:style w:type="character" w:customStyle="1" w:styleId="TISTitleChar">
    <w:name w:val="TIS Title Char"/>
    <w:basedOn w:val="DefaultParagraphFont"/>
    <w:link w:val="TISTitle"/>
    <w:rsid w:val="005F1052"/>
    <w:rPr>
      <w:rFonts w:ascii="Avenir 55 Roman" w:hAnsi="Avenir 55 Roman" w:cs="Avenir-Heavy"/>
      <w:b/>
      <w:color w:val="737373"/>
      <w:sz w:val="48"/>
      <w:szCs w:val="48"/>
    </w:rPr>
  </w:style>
  <w:style w:type="paragraph" w:styleId="FootnoteText">
    <w:name w:val="footnote text"/>
    <w:basedOn w:val="Normal"/>
    <w:link w:val="FootnoteTextChar"/>
    <w:uiPriority w:val="99"/>
    <w:unhideWhenUsed/>
    <w:rsid w:val="00CD1BAD"/>
    <w:pPr>
      <w:spacing w:after="0" w:line="240" w:lineRule="auto"/>
      <w:ind w:left="187" w:right="2246" w:hanging="187"/>
    </w:pPr>
    <w:rPr>
      <w:rFonts w:ascii="Avenir 45 Book" w:hAnsi="Avenir 45 Book"/>
      <w:color w:val="404040" w:themeColor="text1" w:themeTint="BF"/>
      <w:sz w:val="17"/>
      <w:szCs w:val="18"/>
    </w:rPr>
  </w:style>
  <w:style w:type="character" w:customStyle="1" w:styleId="TISParaChar">
    <w:name w:val="TIS Para Char"/>
    <w:basedOn w:val="DefaultParagraphFont"/>
    <w:link w:val="TISPara"/>
    <w:rsid w:val="00911F64"/>
    <w:rPr>
      <w:rFonts w:ascii="Avenir 45 Book" w:hAnsi="Avenir 45 Book" w:cs="Avenir-BookOblique"/>
      <w:iCs/>
      <w:color w:val="0D0D0D" w:themeColor="text1" w:themeTint="F2"/>
      <w:sz w:val="19"/>
      <w:szCs w:val="19"/>
    </w:rPr>
  </w:style>
  <w:style w:type="character" w:customStyle="1" w:styleId="FootnoteTextChar">
    <w:name w:val="Footnote Text Char"/>
    <w:basedOn w:val="DefaultParagraphFont"/>
    <w:link w:val="FootnoteText"/>
    <w:uiPriority w:val="99"/>
    <w:rsid w:val="00CD1BAD"/>
    <w:rPr>
      <w:rFonts w:ascii="Avenir 45 Book" w:hAnsi="Avenir 45 Book"/>
      <w:color w:val="404040" w:themeColor="text1" w:themeTint="BF"/>
      <w:sz w:val="17"/>
      <w:szCs w:val="18"/>
    </w:rPr>
  </w:style>
  <w:style w:type="character" w:styleId="FootnoteReference">
    <w:name w:val="footnote reference"/>
    <w:basedOn w:val="DefaultParagraphFont"/>
    <w:uiPriority w:val="99"/>
    <w:semiHidden/>
    <w:unhideWhenUsed/>
    <w:rsid w:val="00842342"/>
    <w:rPr>
      <w:vertAlign w:val="superscript"/>
    </w:rPr>
  </w:style>
  <w:style w:type="paragraph" w:styleId="Header">
    <w:name w:val="header"/>
    <w:basedOn w:val="Normal"/>
    <w:link w:val="HeaderChar"/>
    <w:uiPriority w:val="99"/>
    <w:unhideWhenUsed/>
    <w:rsid w:val="002737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7EF"/>
  </w:style>
  <w:style w:type="paragraph" w:styleId="Footer">
    <w:name w:val="footer"/>
    <w:basedOn w:val="Normal"/>
    <w:link w:val="FooterChar"/>
    <w:uiPriority w:val="99"/>
    <w:unhideWhenUsed/>
    <w:rsid w:val="002737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7EF"/>
  </w:style>
  <w:style w:type="paragraph" w:customStyle="1" w:styleId="TISPara-Center">
    <w:name w:val="TIS Para - Center"/>
    <w:basedOn w:val="TISPara"/>
    <w:link w:val="TISPara-CenterChar"/>
    <w:qFormat/>
    <w:rsid w:val="001F1CA5"/>
    <w:pPr>
      <w:jc w:val="center"/>
    </w:pPr>
  </w:style>
  <w:style w:type="character" w:styleId="Hyperlink">
    <w:name w:val="Hyperlink"/>
    <w:basedOn w:val="DefaultParagraphFont"/>
    <w:uiPriority w:val="99"/>
    <w:unhideWhenUsed/>
    <w:rsid w:val="001F1CA5"/>
    <w:rPr>
      <w:color w:val="0000FF" w:themeColor="hyperlink"/>
      <w:u w:val="single"/>
    </w:rPr>
  </w:style>
  <w:style w:type="character" w:customStyle="1" w:styleId="TISPara-CenterChar">
    <w:name w:val="TIS Para - Center Char"/>
    <w:basedOn w:val="TISParaChar"/>
    <w:link w:val="TISPara-Center"/>
    <w:rsid w:val="001F1CA5"/>
    <w:rPr>
      <w:rFonts w:ascii="Avenir 45 Book" w:hAnsi="Avenir 45 Book" w:cs="Avenir-BookOblique"/>
      <w:iCs/>
      <w:color w:val="030303"/>
      <w:sz w:val="18"/>
      <w:szCs w:val="19"/>
    </w:rPr>
  </w:style>
  <w:style w:type="paragraph" w:customStyle="1" w:styleId="TISSubtitle">
    <w:name w:val="TIS Subtitle"/>
    <w:basedOn w:val="Normal"/>
    <w:link w:val="TISSubtitleChar"/>
    <w:qFormat/>
    <w:rsid w:val="005F1052"/>
    <w:pPr>
      <w:autoSpaceDE w:val="0"/>
      <w:autoSpaceDN w:val="0"/>
      <w:adjustRightInd w:val="0"/>
      <w:spacing w:before="120" w:after="0" w:line="240" w:lineRule="auto"/>
    </w:pPr>
    <w:rPr>
      <w:rFonts w:ascii="Avenir 55 Roman" w:hAnsi="Avenir 55 Roman" w:cs="Avenir-Heavy"/>
      <w:b/>
      <w:color w:val="737373"/>
      <w:sz w:val="36"/>
      <w:szCs w:val="36"/>
    </w:rPr>
  </w:style>
  <w:style w:type="paragraph" w:customStyle="1" w:styleId="TISDiscl-Copy">
    <w:name w:val="TIS Discl-Copy"/>
    <w:basedOn w:val="TISPara"/>
    <w:link w:val="TISDiscl-CopyChar"/>
    <w:qFormat/>
    <w:rsid w:val="00923304"/>
    <w:pPr>
      <w:ind w:right="0"/>
    </w:pPr>
    <w:rPr>
      <w:color w:val="404040" w:themeColor="text1" w:themeTint="BF"/>
      <w:sz w:val="12"/>
      <w:szCs w:val="12"/>
    </w:rPr>
  </w:style>
  <w:style w:type="character" w:customStyle="1" w:styleId="TISSubtitleChar">
    <w:name w:val="TIS Subtitle Char"/>
    <w:basedOn w:val="DefaultParagraphFont"/>
    <w:link w:val="TISSubtitle"/>
    <w:rsid w:val="005F1052"/>
    <w:rPr>
      <w:rFonts w:ascii="Avenir 55 Roman" w:hAnsi="Avenir 55 Roman" w:cs="Avenir-Heavy"/>
      <w:b/>
      <w:color w:val="737373"/>
      <w:sz w:val="36"/>
      <w:szCs w:val="36"/>
    </w:rPr>
  </w:style>
  <w:style w:type="paragraph" w:customStyle="1" w:styleId="TISCharDisclDark">
    <w:name w:val="TIS (Char) Discl Dark"/>
    <w:basedOn w:val="TISDiscl-Copy"/>
    <w:link w:val="TISCharDisclDarkChar"/>
    <w:qFormat/>
    <w:rsid w:val="00961EF3"/>
    <w:rPr>
      <w:rFonts w:ascii="Avenir 55 Roman" w:hAnsi="Avenir 55 Roman"/>
      <w:color w:val="0D0D0D" w:themeColor="text1" w:themeTint="F2"/>
    </w:rPr>
  </w:style>
  <w:style w:type="character" w:customStyle="1" w:styleId="TISDiscl-CopyChar">
    <w:name w:val="TIS Discl-Copy Char"/>
    <w:basedOn w:val="TISParaChar"/>
    <w:link w:val="TISDiscl-Copy"/>
    <w:rsid w:val="00923304"/>
    <w:rPr>
      <w:rFonts w:ascii="Avenir 45 Book" w:hAnsi="Avenir 45 Book" w:cs="Avenir-BookOblique"/>
      <w:iCs/>
      <w:color w:val="404040" w:themeColor="text1" w:themeTint="BF"/>
      <w:sz w:val="12"/>
      <w:szCs w:val="12"/>
    </w:rPr>
  </w:style>
  <w:style w:type="paragraph" w:customStyle="1" w:styleId="TISCharLink">
    <w:name w:val="TIS (Char) Link"/>
    <w:basedOn w:val="TISDiscl-Copy"/>
    <w:link w:val="TISCharLinkChar"/>
    <w:qFormat/>
    <w:rsid w:val="00961EF3"/>
    <w:rPr>
      <w:color w:val="548DD4" w:themeColor="text2" w:themeTint="99"/>
    </w:rPr>
  </w:style>
  <w:style w:type="character" w:customStyle="1" w:styleId="TISCharDisclDarkChar">
    <w:name w:val="TIS (Char) Discl Dark Char"/>
    <w:basedOn w:val="TISDiscl-CopyChar"/>
    <w:link w:val="TISCharDisclDark"/>
    <w:rsid w:val="00961EF3"/>
    <w:rPr>
      <w:rFonts w:ascii="Avenir 55 Roman" w:hAnsi="Avenir 55 Roman" w:cs="Avenir-BookOblique"/>
      <w:iCs/>
      <w:color w:val="0D0D0D" w:themeColor="text1" w:themeTint="F2"/>
      <w:sz w:val="12"/>
      <w:szCs w:val="12"/>
    </w:rPr>
  </w:style>
  <w:style w:type="character" w:styleId="IntenseReference">
    <w:name w:val="Intense Reference"/>
    <w:uiPriority w:val="32"/>
    <w:rsid w:val="00961EF3"/>
  </w:style>
  <w:style w:type="character" w:customStyle="1" w:styleId="TISCharLinkChar">
    <w:name w:val="TIS (Char) Link Char"/>
    <w:basedOn w:val="TISDiscl-CopyChar"/>
    <w:link w:val="TISCharLink"/>
    <w:rsid w:val="00961EF3"/>
    <w:rPr>
      <w:rFonts w:ascii="Avenir 45 Book" w:hAnsi="Avenir 45 Book" w:cs="Avenir-BookOblique"/>
      <w:iCs/>
      <w:color w:val="548DD4" w:themeColor="text2" w:themeTint="99"/>
      <w:sz w:val="12"/>
      <w:szCs w:val="12"/>
    </w:rPr>
  </w:style>
  <w:style w:type="character" w:styleId="Emphasis">
    <w:name w:val="Emphasis"/>
    <w:basedOn w:val="DefaultParagraphFont"/>
    <w:uiPriority w:val="20"/>
    <w:qFormat/>
    <w:rsid w:val="0003688B"/>
    <w:rPr>
      <w:i/>
      <w:iCs/>
    </w:rPr>
  </w:style>
  <w:style w:type="paragraph" w:customStyle="1" w:styleId="TISListNumbered">
    <w:name w:val="TIS List Numbered"/>
    <w:basedOn w:val="TISPara"/>
    <w:link w:val="TISListNumberedChar"/>
    <w:qFormat/>
    <w:rsid w:val="00C77C60"/>
    <w:pPr>
      <w:numPr>
        <w:numId w:val="1"/>
      </w:numPr>
      <w:spacing w:before="60"/>
    </w:pPr>
  </w:style>
  <w:style w:type="paragraph" w:customStyle="1" w:styleId="TISListBullet">
    <w:name w:val="TIS List Bullet"/>
    <w:basedOn w:val="TISListNumbered"/>
    <w:link w:val="TISListBulletChar"/>
    <w:qFormat/>
    <w:rsid w:val="00C77C60"/>
    <w:pPr>
      <w:numPr>
        <w:numId w:val="2"/>
      </w:numPr>
    </w:pPr>
  </w:style>
  <w:style w:type="character" w:customStyle="1" w:styleId="TISListNumberedChar">
    <w:name w:val="TIS List Numbered Char"/>
    <w:basedOn w:val="TISParaChar"/>
    <w:link w:val="TISListNumbered"/>
    <w:rsid w:val="00C77C60"/>
    <w:rPr>
      <w:rFonts w:ascii="Avenir 45 Book" w:hAnsi="Avenir 45 Book" w:cs="Avenir-BookOblique"/>
      <w:iCs/>
      <w:color w:val="0D0D0D" w:themeColor="text1" w:themeTint="F2"/>
      <w:sz w:val="19"/>
      <w:szCs w:val="19"/>
    </w:rPr>
  </w:style>
  <w:style w:type="paragraph" w:customStyle="1" w:styleId="TISListRoman">
    <w:name w:val="TIS List Roman"/>
    <w:basedOn w:val="TISListNumbered"/>
    <w:link w:val="TISListRomanChar"/>
    <w:qFormat/>
    <w:rsid w:val="002B0B9C"/>
    <w:pPr>
      <w:numPr>
        <w:numId w:val="3"/>
      </w:numPr>
      <w:ind w:hanging="90"/>
    </w:pPr>
  </w:style>
  <w:style w:type="character" w:customStyle="1" w:styleId="TISListBulletChar">
    <w:name w:val="TIS List Bullet Char"/>
    <w:basedOn w:val="TISListNumberedChar"/>
    <w:link w:val="TISListBullet"/>
    <w:rsid w:val="00C77C60"/>
    <w:rPr>
      <w:rFonts w:ascii="Avenir 45 Book" w:hAnsi="Avenir 45 Book" w:cs="Avenir-BookOblique"/>
      <w:iCs/>
      <w:color w:val="0D0D0D" w:themeColor="text1" w:themeTint="F2"/>
      <w:sz w:val="19"/>
      <w:szCs w:val="19"/>
    </w:rPr>
  </w:style>
  <w:style w:type="character" w:customStyle="1" w:styleId="TISListRomanChar">
    <w:name w:val="TIS List Roman Char"/>
    <w:basedOn w:val="TISListNumberedChar"/>
    <w:link w:val="TISListRoman"/>
    <w:rsid w:val="002B0B9C"/>
    <w:rPr>
      <w:rFonts w:ascii="Avenir 45 Book" w:hAnsi="Avenir 45 Book" w:cs="Avenir-BookOblique"/>
      <w:iCs/>
      <w:color w:val="0D0D0D" w:themeColor="text1" w:themeTint="F2"/>
      <w:sz w:val="19"/>
      <w:szCs w:val="19"/>
    </w:rPr>
  </w:style>
  <w:style w:type="character" w:styleId="FollowedHyperlink">
    <w:name w:val="FollowedHyperlink"/>
    <w:basedOn w:val="DefaultParagraphFont"/>
    <w:uiPriority w:val="99"/>
    <w:semiHidden/>
    <w:unhideWhenUsed/>
    <w:rsid w:val="00B640E1"/>
    <w:rPr>
      <w:color w:val="800080" w:themeColor="followedHyperlink"/>
      <w:u w:val="single"/>
    </w:rPr>
  </w:style>
  <w:style w:type="paragraph" w:styleId="ListParagraph">
    <w:name w:val="List Paragraph"/>
    <w:basedOn w:val="Normal"/>
    <w:uiPriority w:val="34"/>
    <w:qFormat/>
    <w:rsid w:val="001019B7"/>
    <w:pPr>
      <w:ind w:left="720"/>
      <w:contextualSpacing/>
    </w:pPr>
    <w:rPr>
      <w:rFonts w:eastAsiaTheme="minorEastAsia"/>
    </w:rPr>
  </w:style>
  <w:style w:type="character" w:styleId="CommentReference">
    <w:name w:val="annotation reference"/>
    <w:basedOn w:val="DefaultParagraphFont"/>
    <w:rsid w:val="001019B7"/>
    <w:rPr>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rs.gov/Tax-Professionals/Section-7216-Information-Center"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aicpa.org/research/standards/auditattest/downloadabledocuments/at-00101_9.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yperlink" Target="http://www.aicpa.org/InterestAreas/FRC/Pages/ConcernsRegardingComfortLetters.aspx"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aicpa.org/InterestAreas/FRC/Pages/ConcernsRegardingComfortLetters.aspx"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p://www.aicpa.org/FRC"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p://www.aicpa.org/FRC"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p://www.aicpa.org/FR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LeBlanc\Documents\AICPA.org\FRC\TISs%20for%20Posting\FRC-TI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67F70B6C103E44A51B35E3B0D41D27" ma:contentTypeVersion="3" ma:contentTypeDescription="Create a new document." ma:contentTypeScope="" ma:versionID="10f3dd52197803eba21631cacb183a09">
  <xsd:schema xmlns:xsd="http://www.w3.org/2001/XMLSchema" xmlns:xs="http://www.w3.org/2001/XMLSchema" xmlns:p="http://schemas.microsoft.com/office/2006/metadata/properties" xmlns:ns2="938df3fe-3a50-4c04-82d1-c8d45f842ffe" targetNamespace="http://schemas.microsoft.com/office/2006/metadata/properties" ma:root="true" ma:fieldsID="12bfb468832a7cf0b3879b71032cef0b" ns2:_="">
    <xsd:import namespace="938df3fe-3a50-4c04-82d1-c8d45f842ffe"/>
    <xsd:element name="properties">
      <xsd:complexType>
        <xsd:sequence>
          <xsd:element name="documentManagement">
            <xsd:complexType>
              <xsd:all>
                <xsd:element ref="ns2:Sub_x0020_Tea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8df3fe-3a50-4c04-82d1-c8d45f842ffe" elementFormDefault="qualified">
    <xsd:import namespace="http://schemas.microsoft.com/office/2006/documentManagement/types"/>
    <xsd:import namespace="http://schemas.microsoft.com/office/infopath/2007/PartnerControls"/>
    <xsd:element name="Sub_x0020_Team" ma:index="8" nillable="true" ma:displayName="Subteam" ma:list="{E9121C18-475C-49A7-A696-FA45FCC7D4F4}" ma:internalName="Sub_x0020_Team"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ub_x0020_Team xmlns="938df3fe-3a50-4c04-82d1-c8d45f842ffe" xsi:nil="true"/>
  </documentManagement>
</p:properties>
</file>

<file path=customXml/itemProps1.xml><?xml version="1.0" encoding="utf-8"?>
<ds:datastoreItem xmlns:ds="http://schemas.openxmlformats.org/officeDocument/2006/customXml" ds:itemID="{9F234212-5E23-47F4-BCAA-F5CB61AC4E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8df3fe-3a50-4c04-82d1-c8d45f842f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8679AC-1EE2-4BBB-BF61-F31B7CC5EB28}">
  <ds:schemaRefs>
    <ds:schemaRef ds:uri="http://schemas.microsoft.com/sharepoint/v3/contenttype/forms"/>
  </ds:schemaRefs>
</ds:datastoreItem>
</file>

<file path=customXml/itemProps3.xml><?xml version="1.0" encoding="utf-8"?>
<ds:datastoreItem xmlns:ds="http://schemas.openxmlformats.org/officeDocument/2006/customXml" ds:itemID="{41D9955A-BF24-4909-90A7-953AD8E1D329}">
  <ds:schemaRefs>
    <ds:schemaRef ds:uri="http://purl.org/dc/dcmitype/"/>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938df3fe-3a50-4c04-82d1-c8d45f842ffe"/>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FRC-TIS-template</Template>
  <TotalTime>1</TotalTime>
  <Pages>3</Pages>
  <Words>971</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Need Third-Party Verification? Ask a CPA for Guidance</vt:lpstr>
    </vt:vector>
  </TitlesOfParts>
  <Company/>
  <LinksUpToDate>false</LinksUpToDate>
  <CharactersWithSpaces>6497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Respond to a Comfort Letter/Third-Party Verification Request</dc:title>
  <dc:creator>AICPA</dc:creator>
  <cp:lastModifiedBy>AICPA</cp:lastModifiedBy>
  <cp:revision>5</cp:revision>
  <cp:lastPrinted>2014-04-24T18:32:00Z</cp:lastPrinted>
  <dcterms:created xsi:type="dcterms:W3CDTF">2014-05-29T19:52:00Z</dcterms:created>
  <dcterms:modified xsi:type="dcterms:W3CDTF">2014-05-30T13:50:00Z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0x010100D567F70B6C103E44A51B35E3B0D41D27</vt:lpwstr>
  </property>
</Properties>
</file>