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367A" w14:textId="77777777" w:rsidR="00802F7B" w:rsidRPr="002D51B6" w:rsidRDefault="00802F7B" w:rsidP="00962E55">
      <w:pPr>
        <w:rPr>
          <w:rFonts w:ascii="Arial" w:hAnsi="Arial" w:cs="Arial"/>
          <w:sz w:val="20"/>
          <w:szCs w:val="20"/>
        </w:rPr>
      </w:pPr>
    </w:p>
    <w:p w14:paraId="7932CA64" w14:textId="3B5BD1F7" w:rsidR="009656BB" w:rsidRPr="004270AB" w:rsidRDefault="009656BB" w:rsidP="00326ACF">
      <w:pPr>
        <w:ind w:left="1440"/>
        <w:jc w:val="right"/>
        <w:rPr>
          <w:rFonts w:ascii="Arial" w:hAnsi="Arial" w:cs="Arial"/>
          <w:color w:val="365F91"/>
          <w:sz w:val="28"/>
          <w:szCs w:val="28"/>
          <w:lang w:bidi="en-US"/>
        </w:rPr>
      </w:pPr>
      <w:r w:rsidRPr="004270AB">
        <w:rPr>
          <w:rFonts w:ascii="Arial" w:hAnsi="Arial" w:cs="Arial"/>
          <w:color w:val="365F91"/>
          <w:sz w:val="28"/>
          <w:szCs w:val="28"/>
          <w:lang w:bidi="en-US"/>
        </w:rPr>
        <w:t>Ju</w:t>
      </w:r>
      <w:r w:rsidR="009A54D8" w:rsidRPr="004270AB">
        <w:rPr>
          <w:rFonts w:ascii="Arial" w:hAnsi="Arial" w:cs="Arial"/>
          <w:color w:val="365F91"/>
          <w:sz w:val="28"/>
          <w:szCs w:val="28"/>
          <w:lang w:bidi="en-US"/>
        </w:rPr>
        <w:t>ly</w:t>
      </w:r>
      <w:r w:rsidRPr="004270AB">
        <w:rPr>
          <w:rFonts w:ascii="Arial" w:hAnsi="Arial" w:cs="Arial"/>
          <w:color w:val="365F91"/>
          <w:sz w:val="28"/>
          <w:szCs w:val="28"/>
          <w:lang w:bidi="en-US"/>
        </w:rPr>
        <w:t xml:space="preserve"> 2020</w:t>
      </w:r>
    </w:p>
    <w:p w14:paraId="6C20048A" w14:textId="77777777" w:rsidR="009656BB" w:rsidRPr="004270AB" w:rsidRDefault="009656BB" w:rsidP="00344BF7">
      <w:pPr>
        <w:rPr>
          <w:rFonts w:ascii="Arial" w:hAnsi="Arial" w:cs="Arial"/>
          <w:color w:val="365F91"/>
          <w:sz w:val="28"/>
          <w:szCs w:val="28"/>
          <w:lang w:bidi="en-US"/>
        </w:rPr>
      </w:pPr>
    </w:p>
    <w:p w14:paraId="6663D28A" w14:textId="4C92B3F1" w:rsidR="00291B85" w:rsidRPr="00291D56" w:rsidRDefault="00221A3A" w:rsidP="00344BF7">
      <w:pPr>
        <w:rPr>
          <w:rFonts w:ascii="Roboto Thin" w:hAnsi="Roboto Thin" w:cs="Arial"/>
          <w:color w:val="365F91"/>
          <w:sz w:val="60"/>
          <w:szCs w:val="60"/>
          <w:lang w:bidi="en-US"/>
        </w:rPr>
      </w:pPr>
      <w:r w:rsidRPr="00291D56">
        <w:rPr>
          <w:rFonts w:ascii="Roboto Thin" w:hAnsi="Roboto Thin" w:cs="Arial"/>
          <w:color w:val="365F91"/>
          <w:sz w:val="60"/>
          <w:szCs w:val="60"/>
          <w:lang w:bidi="en-US"/>
        </w:rPr>
        <w:t xml:space="preserve">ERISA employee benefit plan </w:t>
      </w:r>
      <w:r w:rsidR="00C41905" w:rsidRPr="00291D56">
        <w:rPr>
          <w:rFonts w:ascii="Roboto Thin" w:hAnsi="Roboto Thin" w:cs="Arial"/>
          <w:color w:val="365F91"/>
          <w:sz w:val="60"/>
          <w:szCs w:val="60"/>
          <w:lang w:bidi="en-US"/>
        </w:rPr>
        <w:t xml:space="preserve">financial statement </w:t>
      </w:r>
      <w:r w:rsidR="00F57060" w:rsidRPr="00291D56">
        <w:rPr>
          <w:rFonts w:ascii="Roboto Thin" w:hAnsi="Roboto Thin" w:cs="Arial"/>
          <w:color w:val="365F91"/>
          <w:sz w:val="60"/>
          <w:szCs w:val="60"/>
          <w:lang w:bidi="en-US"/>
        </w:rPr>
        <w:t xml:space="preserve">audit </w:t>
      </w:r>
      <w:r w:rsidR="000A7E20" w:rsidRPr="001129E7">
        <w:rPr>
          <w:rFonts w:ascii="Roboto Thin" w:hAnsi="Roboto Thin" w:cs="Arial"/>
          <w:color w:val="365F91"/>
          <w:sz w:val="60"/>
          <w:szCs w:val="60"/>
          <w:lang w:bidi="en-US"/>
        </w:rPr>
        <w:t xml:space="preserve">special </w:t>
      </w:r>
      <w:r w:rsidRPr="00291D56">
        <w:rPr>
          <w:rFonts w:ascii="Roboto Thin" w:hAnsi="Roboto Thin" w:cs="Arial"/>
          <w:color w:val="365F91"/>
          <w:sz w:val="60"/>
          <w:szCs w:val="60"/>
          <w:lang w:bidi="en-US"/>
        </w:rPr>
        <w:t>consideration</w:t>
      </w:r>
      <w:r w:rsidR="00E81FE7" w:rsidRPr="00291D56">
        <w:rPr>
          <w:rFonts w:ascii="Roboto Thin" w:hAnsi="Roboto Thin" w:cs="Arial"/>
          <w:color w:val="365F91"/>
          <w:sz w:val="60"/>
          <w:szCs w:val="60"/>
          <w:lang w:bidi="en-US"/>
        </w:rPr>
        <w:t>s</w:t>
      </w:r>
      <w:r w:rsidR="005B0FF9" w:rsidRPr="00291D56">
        <w:rPr>
          <w:rFonts w:ascii="Roboto Thin" w:hAnsi="Roboto Thin" w:cs="Arial"/>
          <w:color w:val="365F91"/>
          <w:sz w:val="60"/>
          <w:szCs w:val="60"/>
          <w:lang w:bidi="en-US"/>
        </w:rPr>
        <w:t xml:space="preserve">—2020 </w:t>
      </w:r>
    </w:p>
    <w:p w14:paraId="224E7F7D" w14:textId="77777777" w:rsidR="00E81FE7" w:rsidRPr="001129E7" w:rsidRDefault="00E81FE7" w:rsidP="00344BF7">
      <w:pPr>
        <w:rPr>
          <w:rFonts w:ascii="Arial" w:hAnsi="Arial" w:cs="Arial"/>
          <w:color w:val="365F91"/>
          <w:lang w:bidi="en-US"/>
        </w:rPr>
      </w:pPr>
    </w:p>
    <w:p w14:paraId="33FC9681" w14:textId="2D2E5C75" w:rsidR="00344BF7" w:rsidRPr="001129E7" w:rsidRDefault="005E1E44" w:rsidP="00344BF7">
      <w:pPr>
        <w:rPr>
          <w:rFonts w:ascii="Roboto Thin" w:hAnsi="Roboto Thin" w:cs="Arial"/>
          <w:color w:val="365F91"/>
          <w:sz w:val="48"/>
          <w:szCs w:val="48"/>
          <w:lang w:bidi="en-US"/>
        </w:rPr>
      </w:pPr>
      <w:r w:rsidRPr="001129E7">
        <w:rPr>
          <w:rFonts w:ascii="Roboto Thin" w:hAnsi="Roboto Thin" w:cs="Arial"/>
          <w:color w:val="365F91"/>
          <w:sz w:val="48"/>
          <w:szCs w:val="48"/>
          <w:lang w:bidi="en-US"/>
        </w:rPr>
        <w:t xml:space="preserve">COVID-19 environment </w:t>
      </w:r>
      <w:r w:rsidR="00F27F2B" w:rsidRPr="001129E7">
        <w:rPr>
          <w:rFonts w:ascii="Roboto Thin" w:hAnsi="Roboto Thin" w:cs="Arial"/>
          <w:color w:val="365F91"/>
          <w:sz w:val="48"/>
          <w:szCs w:val="48"/>
          <w:lang w:bidi="en-US"/>
        </w:rPr>
        <w:t xml:space="preserve">implications </w:t>
      </w:r>
      <w:r w:rsidR="00221A3A" w:rsidRPr="001129E7">
        <w:rPr>
          <w:rFonts w:ascii="Roboto Thin" w:hAnsi="Roboto Thin" w:cs="Arial"/>
          <w:color w:val="365F91"/>
          <w:sz w:val="48"/>
          <w:szCs w:val="48"/>
          <w:lang w:bidi="en-US"/>
        </w:rPr>
        <w:t xml:space="preserve">and </w:t>
      </w:r>
      <w:r w:rsidR="00805D9E" w:rsidRPr="001129E7">
        <w:rPr>
          <w:rFonts w:ascii="Roboto Thin" w:hAnsi="Roboto Thin" w:cs="Arial"/>
          <w:color w:val="365F91"/>
          <w:sz w:val="48"/>
          <w:szCs w:val="48"/>
          <w:lang w:bidi="en-US"/>
        </w:rPr>
        <w:t xml:space="preserve">financial statement </w:t>
      </w:r>
      <w:r w:rsidR="00221A3A" w:rsidRPr="001129E7">
        <w:rPr>
          <w:rFonts w:ascii="Roboto Thin" w:hAnsi="Roboto Thin" w:cs="Arial"/>
          <w:color w:val="365F91"/>
          <w:sz w:val="48"/>
          <w:szCs w:val="48"/>
          <w:lang w:bidi="en-US"/>
        </w:rPr>
        <w:t xml:space="preserve">disclosures </w:t>
      </w:r>
    </w:p>
    <w:p w14:paraId="7A57ACA5" w14:textId="611789E0" w:rsidR="00B10A92" w:rsidRDefault="00B10A92" w:rsidP="00344BF7">
      <w:pPr>
        <w:rPr>
          <w:rFonts w:ascii="Arial" w:hAnsi="Arial" w:cs="Arial"/>
          <w:sz w:val="20"/>
          <w:szCs w:val="20"/>
        </w:rPr>
      </w:pPr>
    </w:p>
    <w:p w14:paraId="160472A7" w14:textId="69DC6FA7" w:rsidR="007627E8" w:rsidRPr="00C361C5" w:rsidRDefault="00344BF7" w:rsidP="00FA25C6">
      <w:pPr>
        <w:rPr>
          <w:rFonts w:ascii="Arial" w:hAnsi="Arial" w:cs="Arial"/>
          <w:sz w:val="20"/>
          <w:szCs w:val="20"/>
        </w:rPr>
      </w:pPr>
      <w:r w:rsidRPr="00C361C5">
        <w:rPr>
          <w:rFonts w:ascii="Arial" w:hAnsi="Arial" w:cs="Arial"/>
          <w:sz w:val="20"/>
          <w:szCs w:val="20"/>
        </w:rPr>
        <w:t xml:space="preserve">The 2020 audit season has many unique </w:t>
      </w:r>
      <w:r w:rsidR="00F147F2" w:rsidRPr="00C361C5">
        <w:rPr>
          <w:rFonts w:ascii="Arial" w:hAnsi="Arial" w:cs="Arial"/>
          <w:sz w:val="20"/>
          <w:szCs w:val="20"/>
        </w:rPr>
        <w:t>challenges</w:t>
      </w:r>
      <w:r w:rsidRPr="00C361C5">
        <w:rPr>
          <w:rFonts w:ascii="Arial" w:hAnsi="Arial" w:cs="Arial"/>
          <w:sz w:val="20"/>
          <w:szCs w:val="20"/>
        </w:rPr>
        <w:t xml:space="preserve"> </w:t>
      </w:r>
      <w:r w:rsidR="003A6080" w:rsidRPr="00C361C5">
        <w:rPr>
          <w:rFonts w:ascii="Arial" w:hAnsi="Arial" w:cs="Arial"/>
          <w:sz w:val="20"/>
          <w:szCs w:val="20"/>
        </w:rPr>
        <w:t>for ERIS</w:t>
      </w:r>
      <w:bookmarkStart w:id="0" w:name="_GoBack"/>
      <w:bookmarkEnd w:id="0"/>
      <w:r w:rsidR="003A6080" w:rsidRPr="00C361C5">
        <w:rPr>
          <w:rFonts w:ascii="Arial" w:hAnsi="Arial" w:cs="Arial"/>
          <w:sz w:val="20"/>
          <w:szCs w:val="20"/>
        </w:rPr>
        <w:t>A employee benefit plan audits</w:t>
      </w:r>
      <w:r w:rsidR="00B75F28" w:rsidRPr="00C361C5">
        <w:rPr>
          <w:rFonts w:ascii="Arial" w:hAnsi="Arial" w:cs="Arial"/>
          <w:sz w:val="20"/>
          <w:szCs w:val="20"/>
        </w:rPr>
        <w:t>,</w:t>
      </w:r>
      <w:r w:rsidR="003A6080" w:rsidRPr="00C361C5">
        <w:rPr>
          <w:rFonts w:ascii="Arial" w:hAnsi="Arial" w:cs="Arial"/>
          <w:sz w:val="20"/>
          <w:szCs w:val="20"/>
        </w:rPr>
        <w:t xml:space="preserve"> </w:t>
      </w:r>
      <w:r w:rsidR="007F29BF" w:rsidRPr="00C361C5">
        <w:rPr>
          <w:rFonts w:ascii="Arial" w:hAnsi="Arial" w:cs="Arial"/>
          <w:sz w:val="20"/>
          <w:szCs w:val="20"/>
        </w:rPr>
        <w:t xml:space="preserve">including working remotely and reevaluating approaches to working in a virtual environment; </w:t>
      </w:r>
      <w:r w:rsidRPr="00C361C5">
        <w:rPr>
          <w:rFonts w:ascii="Arial" w:hAnsi="Arial" w:cs="Arial"/>
          <w:sz w:val="20"/>
          <w:szCs w:val="20"/>
        </w:rPr>
        <w:t>the effect of the COVID-19 pandemic on the plan environment, plan operations and controls</w:t>
      </w:r>
      <w:r w:rsidR="00B75F28" w:rsidRPr="00C361C5">
        <w:rPr>
          <w:rFonts w:ascii="Arial" w:hAnsi="Arial" w:cs="Arial"/>
          <w:sz w:val="20"/>
          <w:szCs w:val="20"/>
        </w:rPr>
        <w:t>;</w:t>
      </w:r>
      <w:r w:rsidRPr="00C361C5">
        <w:rPr>
          <w:rFonts w:ascii="Arial" w:hAnsi="Arial" w:cs="Arial"/>
          <w:sz w:val="20"/>
          <w:szCs w:val="20"/>
        </w:rPr>
        <w:t xml:space="preserve"> </w:t>
      </w:r>
      <w:r w:rsidR="00341F2D" w:rsidRPr="00C361C5">
        <w:rPr>
          <w:rFonts w:ascii="Arial" w:hAnsi="Arial" w:cs="Arial"/>
          <w:sz w:val="20"/>
          <w:szCs w:val="20"/>
        </w:rPr>
        <w:t xml:space="preserve">the </w:t>
      </w:r>
      <w:r w:rsidR="007F29BF" w:rsidRPr="00C361C5">
        <w:rPr>
          <w:rFonts w:ascii="Arial" w:hAnsi="Arial" w:cs="Arial"/>
          <w:sz w:val="20"/>
          <w:szCs w:val="20"/>
        </w:rPr>
        <w:t>economic fallout on the financial markets</w:t>
      </w:r>
      <w:r w:rsidR="00341F2D" w:rsidRPr="00C361C5">
        <w:rPr>
          <w:rFonts w:ascii="Arial" w:hAnsi="Arial" w:cs="Arial"/>
          <w:sz w:val="20"/>
          <w:szCs w:val="20"/>
        </w:rPr>
        <w:t xml:space="preserve"> and effect on plan investments</w:t>
      </w:r>
      <w:r w:rsidR="007F29BF" w:rsidRPr="00C361C5">
        <w:rPr>
          <w:rFonts w:ascii="Arial" w:hAnsi="Arial" w:cs="Arial"/>
          <w:sz w:val="20"/>
          <w:szCs w:val="20"/>
        </w:rPr>
        <w:t>; consequences to plan sponsors, employee retention</w:t>
      </w:r>
      <w:r w:rsidR="00B75F28" w:rsidRPr="00C361C5">
        <w:rPr>
          <w:rFonts w:ascii="Arial" w:hAnsi="Arial" w:cs="Arial"/>
          <w:sz w:val="20"/>
          <w:szCs w:val="20"/>
        </w:rPr>
        <w:t>,</w:t>
      </w:r>
      <w:r w:rsidR="007F29BF" w:rsidRPr="00C361C5">
        <w:rPr>
          <w:rFonts w:ascii="Arial" w:hAnsi="Arial" w:cs="Arial"/>
          <w:sz w:val="20"/>
          <w:szCs w:val="20"/>
        </w:rPr>
        <w:t xml:space="preserve"> and benefits; short-term liquidity and long-term solvency issues for plan sponsors; </w:t>
      </w:r>
      <w:r w:rsidR="00BC124E" w:rsidRPr="00C361C5">
        <w:rPr>
          <w:rFonts w:ascii="Arial" w:hAnsi="Arial" w:cs="Arial"/>
          <w:sz w:val="20"/>
          <w:szCs w:val="20"/>
        </w:rPr>
        <w:t>as well as</w:t>
      </w:r>
      <w:r w:rsidRPr="00C361C5">
        <w:rPr>
          <w:rFonts w:ascii="Arial" w:hAnsi="Arial" w:cs="Arial"/>
          <w:sz w:val="20"/>
          <w:szCs w:val="20"/>
        </w:rPr>
        <w:t xml:space="preserve"> </w:t>
      </w:r>
      <w:r w:rsidR="00B84960" w:rsidRPr="00C361C5">
        <w:rPr>
          <w:rFonts w:ascii="Arial" w:hAnsi="Arial" w:cs="Arial"/>
          <w:sz w:val="20"/>
          <w:szCs w:val="20"/>
        </w:rPr>
        <w:t xml:space="preserve">possible changes to the </w:t>
      </w:r>
      <w:r w:rsidRPr="00C361C5">
        <w:rPr>
          <w:rFonts w:ascii="Arial" w:hAnsi="Arial" w:cs="Arial"/>
          <w:sz w:val="20"/>
          <w:szCs w:val="20"/>
        </w:rPr>
        <w:t xml:space="preserve">plan due to </w:t>
      </w:r>
      <w:r w:rsidR="0000454B" w:rsidRPr="00C361C5">
        <w:rPr>
          <w:rFonts w:ascii="Arial" w:hAnsi="Arial" w:cs="Arial"/>
          <w:sz w:val="20"/>
          <w:szCs w:val="20"/>
        </w:rPr>
        <w:t xml:space="preserve">the </w:t>
      </w:r>
      <w:r w:rsidR="0000454B" w:rsidRPr="00C361C5">
        <w:rPr>
          <w:rFonts w:ascii="Arial" w:hAnsi="Arial" w:cs="Arial"/>
          <w:sz w:val="20"/>
          <w:szCs w:val="20"/>
          <w:lang w:val="en"/>
        </w:rPr>
        <w:t>Setting Every Community Up for Retirement Enhancement (</w:t>
      </w:r>
      <w:r w:rsidR="0000454B" w:rsidRPr="00C361C5">
        <w:rPr>
          <w:rFonts w:ascii="Arial" w:hAnsi="Arial" w:cs="Arial"/>
          <w:sz w:val="20"/>
          <w:szCs w:val="20"/>
        </w:rPr>
        <w:t xml:space="preserve">SECURE) Act enacted into law on December 20, 2019, and </w:t>
      </w:r>
      <w:r w:rsidRPr="00C361C5">
        <w:rPr>
          <w:rFonts w:ascii="Arial" w:hAnsi="Arial" w:cs="Arial"/>
          <w:sz w:val="20"/>
          <w:szCs w:val="20"/>
        </w:rPr>
        <w:t xml:space="preserve">the </w:t>
      </w:r>
      <w:r w:rsidR="000F0574" w:rsidRPr="00C361C5">
        <w:rPr>
          <w:rFonts w:ascii="Arial" w:hAnsi="Arial" w:cs="Arial"/>
          <w:sz w:val="20"/>
          <w:szCs w:val="20"/>
          <w:lang w:val="en"/>
        </w:rPr>
        <w:t xml:space="preserve">Coronavirus Aid, Relief, and Economic Security </w:t>
      </w:r>
      <w:r w:rsidR="008B01CB" w:rsidRPr="00C361C5">
        <w:rPr>
          <w:rFonts w:ascii="Arial" w:hAnsi="Arial" w:cs="Arial"/>
          <w:sz w:val="20"/>
          <w:szCs w:val="20"/>
          <w:lang w:val="en"/>
        </w:rPr>
        <w:t>(</w:t>
      </w:r>
      <w:r w:rsidRPr="00C361C5">
        <w:rPr>
          <w:rFonts w:ascii="Arial" w:hAnsi="Arial" w:cs="Arial"/>
          <w:sz w:val="20"/>
          <w:szCs w:val="20"/>
        </w:rPr>
        <w:t>CARES</w:t>
      </w:r>
      <w:r w:rsidR="008B01CB" w:rsidRPr="00C361C5">
        <w:rPr>
          <w:rFonts w:ascii="Arial" w:hAnsi="Arial" w:cs="Arial"/>
          <w:sz w:val="20"/>
          <w:szCs w:val="20"/>
        </w:rPr>
        <w:t>)</w:t>
      </w:r>
      <w:r w:rsidRPr="00C361C5">
        <w:rPr>
          <w:rFonts w:ascii="Arial" w:hAnsi="Arial" w:cs="Arial"/>
          <w:sz w:val="20"/>
          <w:szCs w:val="20"/>
        </w:rPr>
        <w:t xml:space="preserve"> Act </w:t>
      </w:r>
      <w:r w:rsidR="0000454B" w:rsidRPr="00C361C5">
        <w:rPr>
          <w:rFonts w:ascii="Arial" w:hAnsi="Arial" w:cs="Arial"/>
          <w:sz w:val="20"/>
          <w:szCs w:val="20"/>
        </w:rPr>
        <w:t>enacted into law on March 27, 2020.</w:t>
      </w:r>
    </w:p>
    <w:p w14:paraId="46A8B0C8" w14:textId="77777777" w:rsidR="0000454B" w:rsidRPr="004270AB" w:rsidRDefault="0000454B" w:rsidP="00FA25C6">
      <w:pPr>
        <w:rPr>
          <w:rFonts w:ascii="Arial" w:hAnsi="Arial" w:cs="Arial"/>
          <w:color w:val="000000" w:themeColor="text1"/>
          <w:sz w:val="20"/>
          <w:szCs w:val="20"/>
        </w:rPr>
      </w:pPr>
    </w:p>
    <w:p w14:paraId="2559A540" w14:textId="4C3F43F1" w:rsidR="007627E8" w:rsidRPr="00C361C5" w:rsidRDefault="007627E8" w:rsidP="00FA25C6">
      <w:pPr>
        <w:rPr>
          <w:rFonts w:ascii="Arial" w:hAnsi="Arial" w:cs="Arial"/>
          <w:sz w:val="20"/>
          <w:szCs w:val="20"/>
        </w:rPr>
      </w:pPr>
      <w:r w:rsidRPr="00C361C5">
        <w:rPr>
          <w:rFonts w:ascii="Arial" w:hAnsi="Arial" w:cs="Arial"/>
          <w:sz w:val="20"/>
          <w:szCs w:val="20"/>
        </w:rPr>
        <w:t xml:space="preserve">The </w:t>
      </w:r>
      <w:hyperlink r:id="rId11" w:history="1">
        <w:r w:rsidRPr="00271929">
          <w:rPr>
            <w:rStyle w:val="Hyperlink"/>
            <w:rFonts w:ascii="Arial" w:hAnsi="Arial" w:cs="Arial"/>
            <w:sz w:val="20"/>
            <w:szCs w:val="20"/>
          </w:rPr>
          <w:t>AI</w:t>
        </w:r>
        <w:r w:rsidRPr="004270AB">
          <w:rPr>
            <w:rStyle w:val="Hyperlink"/>
            <w:rFonts w:ascii="Arial" w:hAnsi="Arial" w:cs="Arial"/>
            <w:sz w:val="20"/>
            <w:szCs w:val="20"/>
          </w:rPr>
          <w:t xml:space="preserve">CPA FAQs — Audit Matters and Auditor Reporting Issues Related to COVID-19 (AICPA </w:t>
        </w:r>
        <w:r w:rsidR="00561ACB" w:rsidRPr="004270AB">
          <w:rPr>
            <w:rStyle w:val="Hyperlink"/>
            <w:rFonts w:ascii="Arial" w:hAnsi="Arial" w:cs="Arial"/>
            <w:sz w:val="20"/>
            <w:szCs w:val="20"/>
          </w:rPr>
          <w:t>FAQs</w:t>
        </w:r>
        <w:r w:rsidRPr="004270AB">
          <w:rPr>
            <w:rStyle w:val="Hyperlink"/>
            <w:rFonts w:ascii="Arial" w:hAnsi="Arial" w:cs="Arial"/>
            <w:sz w:val="20"/>
            <w:szCs w:val="20"/>
          </w:rPr>
          <w:t>)</w:t>
        </w:r>
      </w:hyperlink>
      <w:r w:rsidRPr="004270AB">
        <w:rPr>
          <w:rFonts w:ascii="Arial" w:hAnsi="Arial" w:cs="Arial"/>
          <w:sz w:val="20"/>
          <w:szCs w:val="20"/>
        </w:rPr>
        <w:t xml:space="preserve"> </w:t>
      </w:r>
      <w:r w:rsidR="00583602" w:rsidRPr="00C361C5">
        <w:rPr>
          <w:rFonts w:ascii="Arial" w:hAnsi="Arial" w:cs="Arial"/>
          <w:sz w:val="20"/>
          <w:szCs w:val="20"/>
        </w:rPr>
        <w:t xml:space="preserve">is a useful aid for auditors in the current environment and can be downloaded from </w:t>
      </w:r>
      <w:r w:rsidRPr="00C361C5">
        <w:rPr>
          <w:rFonts w:ascii="Arial" w:hAnsi="Arial" w:cs="Arial"/>
          <w:sz w:val="20"/>
          <w:szCs w:val="20"/>
        </w:rPr>
        <w:t>the AICPA Coronavirus Resource Center (see Audit &amp; assurance COVID-19 resources) on the AICPA website. The AICPA FAQ</w:t>
      </w:r>
      <w:r w:rsidR="00561ACB" w:rsidRPr="00C361C5">
        <w:rPr>
          <w:rFonts w:ascii="Arial" w:hAnsi="Arial" w:cs="Arial"/>
          <w:sz w:val="20"/>
          <w:szCs w:val="20"/>
        </w:rPr>
        <w:t>s</w:t>
      </w:r>
      <w:r w:rsidR="005D7038" w:rsidRPr="00C361C5">
        <w:rPr>
          <w:rFonts w:ascii="Arial" w:hAnsi="Arial" w:cs="Arial"/>
          <w:sz w:val="20"/>
          <w:szCs w:val="20"/>
        </w:rPr>
        <w:t>, developed by the AICPA staff</w:t>
      </w:r>
      <w:r w:rsidR="005D50B9" w:rsidRPr="00C361C5">
        <w:rPr>
          <w:rFonts w:ascii="Arial" w:hAnsi="Arial" w:cs="Arial"/>
          <w:sz w:val="20"/>
          <w:szCs w:val="20"/>
        </w:rPr>
        <w:t>,</w:t>
      </w:r>
      <w:r w:rsidR="005D7038" w:rsidRPr="00C361C5">
        <w:rPr>
          <w:rFonts w:ascii="Arial" w:hAnsi="Arial" w:cs="Arial"/>
          <w:sz w:val="20"/>
          <w:szCs w:val="20"/>
        </w:rPr>
        <w:t xml:space="preserve"> </w:t>
      </w:r>
      <w:r w:rsidRPr="00C361C5">
        <w:rPr>
          <w:rFonts w:ascii="Arial" w:hAnsi="Arial" w:cs="Arial"/>
          <w:sz w:val="20"/>
          <w:szCs w:val="20"/>
        </w:rPr>
        <w:t xml:space="preserve">provide nonauthoritative guidance on </w:t>
      </w:r>
      <w:r w:rsidR="00141736" w:rsidRPr="00C361C5">
        <w:rPr>
          <w:rFonts w:ascii="Arial" w:hAnsi="Arial" w:cs="Arial"/>
          <w:sz w:val="20"/>
          <w:szCs w:val="20"/>
        </w:rPr>
        <w:t xml:space="preserve">general </w:t>
      </w:r>
      <w:r w:rsidRPr="00C361C5">
        <w:rPr>
          <w:rFonts w:ascii="Arial" w:hAnsi="Arial" w:cs="Arial"/>
          <w:sz w:val="20"/>
          <w:szCs w:val="20"/>
        </w:rPr>
        <w:t xml:space="preserve">auditing </w:t>
      </w:r>
      <w:r w:rsidR="002836B9" w:rsidRPr="00C361C5">
        <w:rPr>
          <w:rFonts w:ascii="Arial" w:hAnsi="Arial" w:cs="Arial"/>
          <w:sz w:val="20"/>
          <w:szCs w:val="20"/>
        </w:rPr>
        <w:t xml:space="preserve">and financial reporting </w:t>
      </w:r>
      <w:r w:rsidRPr="00C361C5">
        <w:rPr>
          <w:rFonts w:ascii="Arial" w:hAnsi="Arial" w:cs="Arial"/>
          <w:sz w:val="20"/>
          <w:szCs w:val="20"/>
        </w:rPr>
        <w:t xml:space="preserve">matters. </w:t>
      </w:r>
      <w:r w:rsidR="00F32732" w:rsidRPr="00C361C5">
        <w:rPr>
          <w:rFonts w:ascii="Arial" w:eastAsia="Times New Roman" w:hAnsi="Arial" w:cs="Arial"/>
          <w:sz w:val="20"/>
          <w:szCs w:val="20"/>
        </w:rPr>
        <w:t>Topics addressed include, among other things, subsequent events disclosures including market</w:t>
      </w:r>
      <w:r w:rsidR="00F32732" w:rsidRPr="00C361C5">
        <w:rPr>
          <w:rFonts w:ascii="Cambria Math" w:eastAsia="Times New Roman" w:hAnsi="Cambria Math" w:cs="Cambria Math"/>
          <w:sz w:val="20"/>
          <w:szCs w:val="20"/>
        </w:rPr>
        <w:t>‐</w:t>
      </w:r>
      <w:r w:rsidR="00F32732" w:rsidRPr="00C361C5">
        <w:rPr>
          <w:rFonts w:ascii="Arial" w:eastAsia="Times New Roman" w:hAnsi="Arial" w:cs="Arial"/>
          <w:sz w:val="20"/>
          <w:szCs w:val="20"/>
        </w:rPr>
        <w:t>value declines; risks and uncertainties; going concern assumptions and disclosures; and emphasis</w:t>
      </w:r>
      <w:r w:rsidR="00F32732" w:rsidRPr="00C361C5">
        <w:rPr>
          <w:rFonts w:ascii="Cambria Math" w:eastAsia="Times New Roman" w:hAnsi="Cambria Math" w:cs="Cambria Math"/>
          <w:sz w:val="20"/>
          <w:szCs w:val="20"/>
        </w:rPr>
        <w:t>‐</w:t>
      </w:r>
      <w:r w:rsidR="00F32732" w:rsidRPr="00C361C5">
        <w:rPr>
          <w:rFonts w:ascii="Arial" w:eastAsia="Times New Roman" w:hAnsi="Arial" w:cs="Arial"/>
          <w:sz w:val="20"/>
          <w:szCs w:val="20"/>
        </w:rPr>
        <w:t>of</w:t>
      </w:r>
      <w:r w:rsidR="00F32732" w:rsidRPr="00C361C5">
        <w:rPr>
          <w:rFonts w:ascii="Cambria Math" w:eastAsia="Times New Roman" w:hAnsi="Cambria Math" w:cs="Cambria Math"/>
          <w:sz w:val="20"/>
          <w:szCs w:val="20"/>
        </w:rPr>
        <w:t>‐</w:t>
      </w:r>
      <w:r w:rsidR="00F32732" w:rsidRPr="00C361C5">
        <w:rPr>
          <w:rFonts w:ascii="Arial" w:eastAsia="Times New Roman" w:hAnsi="Arial" w:cs="Arial"/>
          <w:sz w:val="20"/>
          <w:szCs w:val="20"/>
        </w:rPr>
        <w:t xml:space="preserve">matter paragraphs. The </w:t>
      </w:r>
      <w:r w:rsidR="00EC0D2B" w:rsidRPr="00C361C5">
        <w:rPr>
          <w:rFonts w:ascii="Arial" w:eastAsia="Times New Roman" w:hAnsi="Arial" w:cs="Arial"/>
          <w:sz w:val="20"/>
          <w:szCs w:val="20"/>
        </w:rPr>
        <w:t xml:space="preserve">AICPA </w:t>
      </w:r>
      <w:r w:rsidR="00F32732" w:rsidRPr="00C361C5">
        <w:rPr>
          <w:rFonts w:ascii="Arial" w:eastAsia="Times New Roman" w:hAnsi="Arial" w:cs="Arial"/>
          <w:sz w:val="20"/>
          <w:szCs w:val="20"/>
        </w:rPr>
        <w:t>FAQs also address remote audit planning; access to the client's books and records; client's internal control; fraud risk and inquiries; account confirmations; and the acceptability of management representation letter on "plain paper."</w:t>
      </w:r>
    </w:p>
    <w:p w14:paraId="1980F248" w14:textId="77777777" w:rsidR="007F29BF" w:rsidRPr="00C361C5" w:rsidRDefault="007F29BF" w:rsidP="00344BF7">
      <w:pPr>
        <w:rPr>
          <w:rFonts w:ascii="Arial" w:hAnsi="Arial" w:cs="Arial"/>
          <w:sz w:val="20"/>
          <w:szCs w:val="20"/>
        </w:rPr>
      </w:pPr>
    </w:p>
    <w:p w14:paraId="2045D458" w14:textId="0FA8728D" w:rsidR="00344BF7" w:rsidRPr="00C361C5" w:rsidRDefault="00545F96" w:rsidP="00FA25C6">
      <w:pPr>
        <w:rPr>
          <w:rFonts w:ascii="Arial" w:hAnsi="Arial" w:cs="Arial"/>
          <w:sz w:val="20"/>
          <w:szCs w:val="20"/>
        </w:rPr>
      </w:pPr>
      <w:r w:rsidRPr="00C361C5">
        <w:rPr>
          <w:rFonts w:ascii="Arial" w:hAnsi="Arial" w:cs="Arial"/>
          <w:sz w:val="20"/>
          <w:szCs w:val="20"/>
        </w:rPr>
        <w:t xml:space="preserve">This non-authoritative EBPAQC tool is intended to help auditors identify whether there are any unique situations to consider from an </w:t>
      </w:r>
      <w:r w:rsidR="005D50B9" w:rsidRPr="00C361C5">
        <w:rPr>
          <w:rFonts w:ascii="Arial" w:hAnsi="Arial" w:cs="Arial"/>
          <w:sz w:val="20"/>
          <w:szCs w:val="20"/>
        </w:rPr>
        <w:t>employee benefit p</w:t>
      </w:r>
      <w:r w:rsidR="000D7EC9" w:rsidRPr="00C361C5">
        <w:rPr>
          <w:rFonts w:ascii="Arial" w:hAnsi="Arial" w:cs="Arial"/>
          <w:sz w:val="20"/>
          <w:szCs w:val="20"/>
        </w:rPr>
        <w:t xml:space="preserve">lan </w:t>
      </w:r>
      <w:r w:rsidRPr="00C361C5">
        <w:rPr>
          <w:rFonts w:ascii="Arial" w:hAnsi="Arial" w:cs="Arial"/>
          <w:sz w:val="20"/>
          <w:szCs w:val="20"/>
        </w:rPr>
        <w:t xml:space="preserve">audit and/or financial reporting perspective </w:t>
      </w:r>
      <w:r w:rsidR="00344BF7" w:rsidRPr="00C361C5">
        <w:rPr>
          <w:rFonts w:ascii="Arial" w:hAnsi="Arial" w:cs="Arial"/>
          <w:sz w:val="20"/>
          <w:szCs w:val="20"/>
        </w:rPr>
        <w:t xml:space="preserve">for </w:t>
      </w:r>
      <w:r w:rsidR="000D7EC9" w:rsidRPr="00C361C5">
        <w:rPr>
          <w:rFonts w:ascii="Arial" w:hAnsi="Arial" w:cs="Arial"/>
          <w:sz w:val="20"/>
          <w:szCs w:val="20"/>
        </w:rPr>
        <w:t xml:space="preserve">plan </w:t>
      </w:r>
      <w:r w:rsidR="00B519F3" w:rsidRPr="00C361C5">
        <w:rPr>
          <w:rFonts w:ascii="Arial" w:hAnsi="Arial" w:cs="Arial"/>
          <w:sz w:val="20"/>
          <w:szCs w:val="20"/>
        </w:rPr>
        <w:t xml:space="preserve">calendar </w:t>
      </w:r>
      <w:r w:rsidR="000D7EC9" w:rsidRPr="00C361C5">
        <w:rPr>
          <w:rFonts w:ascii="Arial" w:hAnsi="Arial" w:cs="Arial"/>
          <w:sz w:val="20"/>
          <w:szCs w:val="20"/>
        </w:rPr>
        <w:t xml:space="preserve">years ending on </w:t>
      </w:r>
      <w:r w:rsidR="00344BF7" w:rsidRPr="00C361C5">
        <w:rPr>
          <w:rFonts w:ascii="Arial" w:hAnsi="Arial" w:cs="Arial"/>
          <w:sz w:val="20"/>
          <w:szCs w:val="20"/>
        </w:rPr>
        <w:t>December 31, 2019.</w:t>
      </w:r>
      <w:r w:rsidR="00B20151" w:rsidRPr="00C361C5">
        <w:rPr>
          <w:rFonts w:ascii="Arial" w:hAnsi="Arial" w:cs="Arial"/>
          <w:sz w:val="20"/>
          <w:szCs w:val="20"/>
        </w:rPr>
        <w:t xml:space="preserve"> </w:t>
      </w:r>
      <w:r w:rsidR="00FE1305" w:rsidRPr="00C361C5">
        <w:rPr>
          <w:rFonts w:ascii="Arial" w:hAnsi="Arial" w:cs="Arial"/>
          <w:sz w:val="20"/>
          <w:szCs w:val="20"/>
        </w:rPr>
        <w:t>This tool may be helpful i</w:t>
      </w:r>
      <w:r w:rsidR="00344BF7" w:rsidRPr="00C361C5">
        <w:rPr>
          <w:rFonts w:ascii="Arial" w:hAnsi="Arial" w:cs="Arial"/>
          <w:sz w:val="20"/>
          <w:szCs w:val="20"/>
        </w:rPr>
        <w:t xml:space="preserve">n </w:t>
      </w:r>
      <w:r w:rsidR="00E918BD" w:rsidRPr="00C361C5">
        <w:rPr>
          <w:rFonts w:ascii="Arial" w:hAnsi="Arial" w:cs="Arial"/>
          <w:sz w:val="20"/>
          <w:szCs w:val="20"/>
        </w:rPr>
        <w:t>initiating</w:t>
      </w:r>
      <w:r w:rsidR="00344BF7" w:rsidRPr="00C361C5">
        <w:rPr>
          <w:rFonts w:ascii="Arial" w:hAnsi="Arial" w:cs="Arial"/>
          <w:sz w:val="20"/>
          <w:szCs w:val="20"/>
        </w:rPr>
        <w:t xml:space="preserve"> discussions throughout the audit with the engagement team and the plan sponsor/administrator </w:t>
      </w:r>
      <w:r w:rsidR="00B11630" w:rsidRPr="00C361C5">
        <w:rPr>
          <w:rFonts w:ascii="Arial" w:hAnsi="Arial" w:cs="Arial"/>
          <w:sz w:val="20"/>
          <w:szCs w:val="20"/>
        </w:rPr>
        <w:t>throughout the course of an audit</w:t>
      </w:r>
      <w:r w:rsidR="00FE1305" w:rsidRPr="00C361C5">
        <w:rPr>
          <w:rFonts w:ascii="Arial" w:hAnsi="Arial" w:cs="Arial"/>
          <w:sz w:val="20"/>
          <w:szCs w:val="20"/>
        </w:rPr>
        <w:t>, and</w:t>
      </w:r>
      <w:r w:rsidR="00E65E5A" w:rsidRPr="00C361C5">
        <w:rPr>
          <w:rFonts w:ascii="Arial" w:hAnsi="Arial" w:cs="Arial"/>
          <w:sz w:val="20"/>
          <w:szCs w:val="20"/>
        </w:rPr>
        <w:t xml:space="preserve"> </w:t>
      </w:r>
      <w:r w:rsidR="00FA785C" w:rsidRPr="00C361C5">
        <w:rPr>
          <w:rFonts w:ascii="Arial" w:hAnsi="Arial" w:cs="Arial"/>
          <w:sz w:val="20"/>
          <w:szCs w:val="20"/>
        </w:rPr>
        <w:t xml:space="preserve">is </w:t>
      </w:r>
      <w:r w:rsidR="006A4091" w:rsidRPr="00C361C5">
        <w:rPr>
          <w:rFonts w:ascii="Arial" w:hAnsi="Arial" w:cs="Arial"/>
          <w:sz w:val="20"/>
          <w:szCs w:val="20"/>
        </w:rPr>
        <w:t>n</w:t>
      </w:r>
      <w:r w:rsidR="00FA785C" w:rsidRPr="00C361C5">
        <w:rPr>
          <w:rFonts w:ascii="Arial" w:hAnsi="Arial" w:cs="Arial"/>
          <w:sz w:val="20"/>
          <w:szCs w:val="20"/>
        </w:rPr>
        <w:t xml:space="preserve">ot intended to be </w:t>
      </w:r>
      <w:r w:rsidR="00823975" w:rsidRPr="00C361C5">
        <w:rPr>
          <w:rFonts w:ascii="Arial" w:hAnsi="Arial" w:cs="Arial"/>
          <w:sz w:val="20"/>
          <w:szCs w:val="20"/>
        </w:rPr>
        <w:t xml:space="preserve">retained as </w:t>
      </w:r>
      <w:r w:rsidR="00FA785C" w:rsidRPr="00C361C5">
        <w:rPr>
          <w:rFonts w:ascii="Arial" w:hAnsi="Arial" w:cs="Arial"/>
          <w:sz w:val="20"/>
          <w:szCs w:val="20"/>
        </w:rPr>
        <w:t xml:space="preserve">a part of the firm’s audit documentation under AU-C section 230, </w:t>
      </w:r>
      <w:r w:rsidR="00FA785C" w:rsidRPr="00C361C5">
        <w:rPr>
          <w:rFonts w:ascii="Arial" w:hAnsi="Arial" w:cs="Arial"/>
          <w:i/>
          <w:sz w:val="20"/>
          <w:szCs w:val="20"/>
        </w:rPr>
        <w:t>Audit Documentation</w:t>
      </w:r>
      <w:r w:rsidR="00FA785C" w:rsidRPr="00C361C5">
        <w:rPr>
          <w:rFonts w:ascii="Arial" w:hAnsi="Arial" w:cs="Arial"/>
          <w:sz w:val="20"/>
          <w:szCs w:val="20"/>
        </w:rPr>
        <w:t>.</w:t>
      </w:r>
    </w:p>
    <w:p w14:paraId="03E44856" w14:textId="67B7B1E7" w:rsidR="009F3CE8" w:rsidRPr="00C361C5" w:rsidRDefault="009F3CE8" w:rsidP="00FA25C6">
      <w:pPr>
        <w:rPr>
          <w:rFonts w:ascii="Arial" w:hAnsi="Arial" w:cs="Arial"/>
          <w:sz w:val="20"/>
          <w:szCs w:val="20"/>
        </w:rPr>
      </w:pPr>
    </w:p>
    <w:p w14:paraId="0D30E0A2" w14:textId="0BBE90B7" w:rsidR="009F3CE8" w:rsidRPr="00C361C5" w:rsidRDefault="00682B74" w:rsidP="00FA25C6">
      <w:pPr>
        <w:rPr>
          <w:rFonts w:ascii="Arial" w:hAnsi="Arial" w:cs="Arial"/>
          <w:sz w:val="20"/>
          <w:szCs w:val="20"/>
        </w:rPr>
      </w:pPr>
      <w:r w:rsidRPr="00C361C5">
        <w:rPr>
          <w:rFonts w:ascii="Arial" w:hAnsi="Arial" w:cs="Arial"/>
          <w:sz w:val="20"/>
          <w:szCs w:val="20"/>
        </w:rPr>
        <w:t xml:space="preserve">This tool also </w:t>
      </w:r>
      <w:r w:rsidR="0000454B" w:rsidRPr="00C361C5">
        <w:rPr>
          <w:rFonts w:ascii="Arial" w:hAnsi="Arial" w:cs="Arial"/>
          <w:sz w:val="20"/>
          <w:szCs w:val="20"/>
        </w:rPr>
        <w:t xml:space="preserve">includes </w:t>
      </w:r>
      <w:r w:rsidR="00994A4F" w:rsidRPr="00C361C5">
        <w:rPr>
          <w:rFonts w:ascii="Arial" w:hAnsi="Arial" w:cs="Arial"/>
          <w:sz w:val="20"/>
          <w:szCs w:val="20"/>
        </w:rPr>
        <w:t xml:space="preserve">references </w:t>
      </w:r>
      <w:r w:rsidR="0000454B" w:rsidRPr="00C361C5">
        <w:rPr>
          <w:rFonts w:ascii="Arial" w:hAnsi="Arial" w:cs="Arial"/>
          <w:sz w:val="20"/>
          <w:szCs w:val="20"/>
        </w:rPr>
        <w:t xml:space="preserve">to </w:t>
      </w:r>
      <w:r w:rsidR="00994A4F" w:rsidRPr="00C361C5">
        <w:rPr>
          <w:rFonts w:ascii="Arial" w:hAnsi="Arial" w:cs="Arial"/>
          <w:sz w:val="20"/>
          <w:szCs w:val="20"/>
        </w:rPr>
        <w:t>a</w:t>
      </w:r>
      <w:r w:rsidRPr="00C361C5">
        <w:rPr>
          <w:rFonts w:ascii="Arial" w:hAnsi="Arial" w:cs="Arial"/>
          <w:sz w:val="20"/>
          <w:szCs w:val="20"/>
        </w:rPr>
        <w:t>dditional</w:t>
      </w:r>
      <w:r w:rsidR="009F3CE8" w:rsidRPr="00C361C5">
        <w:rPr>
          <w:rFonts w:ascii="Arial" w:hAnsi="Arial" w:cs="Arial"/>
          <w:sz w:val="20"/>
          <w:szCs w:val="20"/>
        </w:rPr>
        <w:t xml:space="preserve"> </w:t>
      </w:r>
      <w:r w:rsidRPr="00C361C5">
        <w:rPr>
          <w:rFonts w:ascii="Arial" w:hAnsi="Arial" w:cs="Arial"/>
          <w:sz w:val="20"/>
          <w:szCs w:val="20"/>
        </w:rPr>
        <w:t>AICPA resources</w:t>
      </w:r>
      <w:r w:rsidR="009F3CE8" w:rsidRPr="00C361C5">
        <w:rPr>
          <w:rFonts w:ascii="Arial" w:hAnsi="Arial" w:cs="Arial"/>
          <w:sz w:val="20"/>
          <w:szCs w:val="20"/>
        </w:rPr>
        <w:t xml:space="preserve"> </w:t>
      </w:r>
      <w:r w:rsidR="006A4091" w:rsidRPr="00C361C5">
        <w:rPr>
          <w:rFonts w:ascii="Arial" w:hAnsi="Arial" w:cs="Arial"/>
          <w:sz w:val="20"/>
          <w:szCs w:val="20"/>
        </w:rPr>
        <w:t xml:space="preserve">on </w:t>
      </w:r>
      <w:r w:rsidR="00994A4F" w:rsidRPr="00C361C5">
        <w:rPr>
          <w:rFonts w:ascii="Arial" w:hAnsi="Arial" w:cs="Arial"/>
          <w:sz w:val="20"/>
          <w:szCs w:val="20"/>
        </w:rPr>
        <w:t xml:space="preserve">auditing in the </w:t>
      </w:r>
      <w:r w:rsidR="006A4091" w:rsidRPr="00C361C5">
        <w:rPr>
          <w:rFonts w:ascii="Arial" w:hAnsi="Arial" w:cs="Arial"/>
          <w:sz w:val="20"/>
          <w:szCs w:val="20"/>
        </w:rPr>
        <w:t xml:space="preserve">COVID pandemic </w:t>
      </w:r>
      <w:r w:rsidR="00994A4F" w:rsidRPr="00C361C5">
        <w:rPr>
          <w:rFonts w:ascii="Arial" w:hAnsi="Arial" w:cs="Arial"/>
          <w:sz w:val="20"/>
          <w:szCs w:val="20"/>
        </w:rPr>
        <w:t>environment.</w:t>
      </w:r>
    </w:p>
    <w:p w14:paraId="2EA609C8" w14:textId="32D2006B" w:rsidR="00A60E3A" w:rsidRPr="00C361C5" w:rsidRDefault="00A60E3A" w:rsidP="00344BF7">
      <w:pPr>
        <w:rPr>
          <w:rFonts w:ascii="Arial" w:hAnsi="Arial" w:cs="Arial"/>
          <w:sz w:val="20"/>
          <w:szCs w:val="20"/>
        </w:rPr>
      </w:pPr>
    </w:p>
    <w:p w14:paraId="4FDA2DA6" w14:textId="0F73ED03" w:rsidR="0017365D" w:rsidRPr="00291D56" w:rsidRDefault="005E1E44" w:rsidP="0017365D">
      <w:pPr>
        <w:rPr>
          <w:rFonts w:ascii="Roboto Thin" w:hAnsi="Roboto Thin" w:cs="Arial"/>
          <w:color w:val="365F91"/>
          <w:sz w:val="40"/>
          <w:szCs w:val="40"/>
          <w:lang w:bidi="en-US"/>
        </w:rPr>
      </w:pPr>
      <w:r w:rsidRPr="00291D56">
        <w:rPr>
          <w:rFonts w:ascii="Roboto Thin" w:hAnsi="Roboto Thin" w:cs="Arial"/>
          <w:color w:val="365F91"/>
          <w:sz w:val="40"/>
          <w:szCs w:val="40"/>
          <w:lang w:bidi="en-US"/>
        </w:rPr>
        <w:t xml:space="preserve">COVID-19 </w:t>
      </w:r>
      <w:r w:rsidR="000E610A" w:rsidRPr="00291D56">
        <w:rPr>
          <w:rFonts w:ascii="Roboto Thin" w:hAnsi="Roboto Thin" w:cs="Arial"/>
          <w:color w:val="365F91"/>
          <w:sz w:val="40"/>
          <w:szCs w:val="40"/>
          <w:lang w:bidi="en-US"/>
        </w:rPr>
        <w:t>environment</w:t>
      </w:r>
      <w:r w:rsidR="00FB6ADE" w:rsidRPr="00291D56">
        <w:rPr>
          <w:rFonts w:ascii="Roboto Thin" w:hAnsi="Roboto Thin" w:cs="Arial"/>
          <w:color w:val="365F91"/>
          <w:sz w:val="40"/>
          <w:szCs w:val="40"/>
          <w:lang w:bidi="en-US"/>
        </w:rPr>
        <w:t xml:space="preserve"> </w:t>
      </w:r>
      <w:r w:rsidR="00235142" w:rsidRPr="00291D56">
        <w:rPr>
          <w:rFonts w:ascii="Roboto Thin" w:hAnsi="Roboto Thin" w:cs="Arial"/>
          <w:color w:val="365F91"/>
          <w:sz w:val="40"/>
          <w:szCs w:val="40"/>
          <w:lang w:bidi="en-US"/>
        </w:rPr>
        <w:t xml:space="preserve">— </w:t>
      </w:r>
      <w:r w:rsidR="006C4E8D" w:rsidRPr="00291D56">
        <w:rPr>
          <w:rFonts w:ascii="Roboto Thin" w:hAnsi="Roboto Thin" w:cs="Arial"/>
          <w:color w:val="365F91"/>
          <w:sz w:val="40"/>
          <w:szCs w:val="40"/>
          <w:lang w:bidi="en-US"/>
        </w:rPr>
        <w:t xml:space="preserve">special </w:t>
      </w:r>
      <w:r w:rsidR="0081142A" w:rsidRPr="00291D56">
        <w:rPr>
          <w:rFonts w:ascii="Roboto Thin" w:hAnsi="Roboto Thin" w:cs="Arial"/>
          <w:color w:val="365F91"/>
          <w:sz w:val="40"/>
          <w:szCs w:val="40"/>
          <w:lang w:bidi="en-US"/>
        </w:rPr>
        <w:t xml:space="preserve">audit </w:t>
      </w:r>
      <w:r w:rsidR="00FB6ADE" w:rsidRPr="00291D56">
        <w:rPr>
          <w:rFonts w:ascii="Roboto Thin" w:hAnsi="Roboto Thin" w:cs="Arial"/>
          <w:color w:val="365F91"/>
          <w:sz w:val="40"/>
          <w:szCs w:val="40"/>
          <w:lang w:bidi="en-US"/>
        </w:rPr>
        <w:t>considerations</w:t>
      </w:r>
    </w:p>
    <w:p w14:paraId="44E0329B" w14:textId="14513D2A" w:rsidR="00DE5E91" w:rsidRPr="00D96825" w:rsidRDefault="00DE5E91" w:rsidP="0017365D">
      <w:pPr>
        <w:rPr>
          <w:rFonts w:ascii="Arial" w:hAnsi="Arial" w:cs="Arial"/>
          <w:color w:val="000000" w:themeColor="text1"/>
          <w:sz w:val="20"/>
          <w:szCs w:val="20"/>
        </w:rPr>
      </w:pPr>
    </w:p>
    <w:p w14:paraId="61B138BA" w14:textId="321E61A6" w:rsidR="001E13FB" w:rsidRPr="00C361C5" w:rsidRDefault="009C3AAB" w:rsidP="001E13FB">
      <w:pPr>
        <w:rPr>
          <w:rFonts w:ascii="Arial" w:hAnsi="Arial" w:cs="Arial"/>
          <w:sz w:val="20"/>
          <w:szCs w:val="20"/>
        </w:rPr>
      </w:pPr>
      <w:r w:rsidRPr="00C361C5">
        <w:rPr>
          <w:rFonts w:ascii="Arial" w:hAnsi="Arial" w:cs="Arial"/>
          <w:sz w:val="20"/>
          <w:szCs w:val="20"/>
        </w:rPr>
        <w:t xml:space="preserve">The </w:t>
      </w:r>
      <w:r w:rsidR="00301B71" w:rsidRPr="00C361C5">
        <w:rPr>
          <w:rFonts w:ascii="Arial" w:hAnsi="Arial" w:cs="Arial"/>
          <w:sz w:val="20"/>
          <w:szCs w:val="20"/>
        </w:rPr>
        <w:t xml:space="preserve">COVID-19 environment and </w:t>
      </w:r>
      <w:r w:rsidRPr="00C361C5">
        <w:rPr>
          <w:rFonts w:ascii="Arial" w:hAnsi="Arial" w:cs="Arial"/>
          <w:sz w:val="20"/>
          <w:szCs w:val="20"/>
        </w:rPr>
        <w:t>remote work environment</w:t>
      </w:r>
      <w:r w:rsidR="0085213D" w:rsidRPr="00C361C5">
        <w:rPr>
          <w:rFonts w:ascii="Arial" w:hAnsi="Arial" w:cs="Arial"/>
          <w:sz w:val="20"/>
          <w:szCs w:val="20"/>
        </w:rPr>
        <w:t xml:space="preserve"> </w:t>
      </w:r>
      <w:r w:rsidR="00A05E2F" w:rsidRPr="00C361C5">
        <w:rPr>
          <w:rFonts w:ascii="Arial" w:hAnsi="Arial" w:cs="Arial"/>
          <w:sz w:val="20"/>
          <w:szCs w:val="20"/>
        </w:rPr>
        <w:t>may</w:t>
      </w:r>
      <w:r w:rsidR="0085213D" w:rsidRPr="00C361C5">
        <w:rPr>
          <w:rFonts w:ascii="Arial" w:hAnsi="Arial" w:cs="Arial"/>
          <w:sz w:val="20"/>
          <w:szCs w:val="20"/>
        </w:rPr>
        <w:t xml:space="preserve"> pose challenges</w:t>
      </w:r>
      <w:r w:rsidRPr="00C361C5">
        <w:rPr>
          <w:rFonts w:ascii="Arial" w:hAnsi="Arial" w:cs="Arial"/>
          <w:sz w:val="20"/>
          <w:szCs w:val="20"/>
        </w:rPr>
        <w:t xml:space="preserve"> for</w:t>
      </w:r>
      <w:r w:rsidR="0027568F" w:rsidRPr="00C361C5">
        <w:rPr>
          <w:rFonts w:ascii="Arial" w:hAnsi="Arial" w:cs="Arial"/>
          <w:sz w:val="20"/>
          <w:szCs w:val="20"/>
        </w:rPr>
        <w:t xml:space="preserve"> </w:t>
      </w:r>
      <w:r w:rsidR="00C3027D" w:rsidRPr="00C361C5">
        <w:rPr>
          <w:rFonts w:ascii="Arial" w:hAnsi="Arial" w:cs="Arial"/>
          <w:sz w:val="20"/>
          <w:szCs w:val="20"/>
        </w:rPr>
        <w:t>the</w:t>
      </w:r>
      <w:r w:rsidR="00A05E2F" w:rsidRPr="00C361C5">
        <w:rPr>
          <w:rFonts w:ascii="Arial" w:hAnsi="Arial" w:cs="Arial"/>
          <w:sz w:val="20"/>
          <w:szCs w:val="20"/>
        </w:rPr>
        <w:t xml:space="preserve"> financial statement</w:t>
      </w:r>
      <w:r w:rsidR="00FD24BA" w:rsidRPr="00C361C5">
        <w:rPr>
          <w:rFonts w:ascii="Arial" w:hAnsi="Arial" w:cs="Arial"/>
          <w:sz w:val="20"/>
          <w:szCs w:val="20"/>
        </w:rPr>
        <w:t xml:space="preserve"> preparation and audit process</w:t>
      </w:r>
      <w:r w:rsidR="000A7E20" w:rsidRPr="00C361C5">
        <w:rPr>
          <w:rFonts w:ascii="Arial" w:hAnsi="Arial" w:cs="Arial"/>
          <w:sz w:val="20"/>
          <w:szCs w:val="20"/>
        </w:rPr>
        <w:t>es</w:t>
      </w:r>
      <w:r w:rsidR="00A05E2F" w:rsidRPr="00C361C5">
        <w:rPr>
          <w:rFonts w:ascii="Arial" w:hAnsi="Arial" w:cs="Arial"/>
          <w:sz w:val="20"/>
          <w:szCs w:val="20"/>
        </w:rPr>
        <w:t xml:space="preserve">. </w:t>
      </w:r>
      <w:r w:rsidR="00A657D8" w:rsidRPr="00C361C5">
        <w:rPr>
          <w:rFonts w:ascii="Arial" w:hAnsi="Arial" w:cs="Arial"/>
          <w:sz w:val="20"/>
          <w:szCs w:val="20"/>
        </w:rPr>
        <w:t xml:space="preserve">The following is a list of </w:t>
      </w:r>
      <w:r w:rsidR="00A31AA4" w:rsidRPr="00C361C5">
        <w:rPr>
          <w:rFonts w:ascii="Arial" w:hAnsi="Arial" w:cs="Arial"/>
          <w:sz w:val="20"/>
          <w:szCs w:val="20"/>
        </w:rPr>
        <w:t xml:space="preserve">audit considerations in the COVID-19 </w:t>
      </w:r>
      <w:r w:rsidR="00FD24BA" w:rsidRPr="00C361C5">
        <w:rPr>
          <w:rFonts w:ascii="Arial" w:hAnsi="Arial" w:cs="Arial"/>
          <w:sz w:val="20"/>
          <w:szCs w:val="20"/>
        </w:rPr>
        <w:t>environment that</w:t>
      </w:r>
      <w:r w:rsidR="00A31AA4" w:rsidRPr="00C361C5">
        <w:rPr>
          <w:rFonts w:ascii="Arial" w:hAnsi="Arial" w:cs="Arial"/>
          <w:sz w:val="20"/>
          <w:szCs w:val="20"/>
        </w:rPr>
        <w:t xml:space="preserve"> </w:t>
      </w:r>
      <w:r w:rsidR="00A657D8" w:rsidRPr="00C361C5">
        <w:rPr>
          <w:rFonts w:ascii="Arial" w:hAnsi="Arial" w:cs="Arial"/>
          <w:sz w:val="20"/>
          <w:szCs w:val="20"/>
        </w:rPr>
        <w:t>auditor</w:t>
      </w:r>
      <w:r w:rsidR="00A31AA4" w:rsidRPr="00C361C5">
        <w:rPr>
          <w:rFonts w:ascii="Arial" w:hAnsi="Arial" w:cs="Arial"/>
          <w:sz w:val="20"/>
          <w:szCs w:val="20"/>
        </w:rPr>
        <w:t xml:space="preserve">s </w:t>
      </w:r>
      <w:r w:rsidR="00A04D4F" w:rsidRPr="00C361C5">
        <w:rPr>
          <w:rFonts w:ascii="Arial" w:hAnsi="Arial" w:cs="Arial"/>
          <w:sz w:val="20"/>
          <w:szCs w:val="20"/>
        </w:rPr>
        <w:t>may need to consider</w:t>
      </w:r>
      <w:r w:rsidR="00C3027D" w:rsidRPr="00C361C5">
        <w:rPr>
          <w:rFonts w:ascii="Arial" w:hAnsi="Arial" w:cs="Arial"/>
          <w:sz w:val="20"/>
          <w:szCs w:val="20"/>
        </w:rPr>
        <w:t>.</w:t>
      </w:r>
    </w:p>
    <w:p w14:paraId="4AEA5B60" w14:textId="1BC04785" w:rsidR="00B248A1" w:rsidRPr="00C361C5" w:rsidRDefault="00B248A1" w:rsidP="0017365D">
      <w:pPr>
        <w:rPr>
          <w:rFonts w:ascii="Arial" w:hAnsi="Arial" w:cs="Arial"/>
          <w:sz w:val="20"/>
          <w:szCs w:val="20"/>
        </w:rPr>
      </w:pPr>
    </w:p>
    <w:p w14:paraId="636DABCE" w14:textId="2B0996FA" w:rsidR="00661DEF" w:rsidRPr="00C361C5" w:rsidRDefault="00197E73" w:rsidP="00661DEF">
      <w:pPr>
        <w:pStyle w:val="ListParagraph"/>
        <w:numPr>
          <w:ilvl w:val="0"/>
          <w:numId w:val="18"/>
        </w:numPr>
        <w:rPr>
          <w:rFonts w:cs="Arial"/>
          <w:szCs w:val="20"/>
          <w:shd w:val="clear" w:color="auto" w:fill="FFFFFF"/>
        </w:rPr>
      </w:pPr>
      <w:r w:rsidRPr="00C361C5">
        <w:rPr>
          <w:rFonts w:cs="Arial"/>
          <w:szCs w:val="20"/>
        </w:rPr>
        <w:t>C</w:t>
      </w:r>
      <w:r w:rsidR="00661DEF" w:rsidRPr="00C361C5">
        <w:rPr>
          <w:rFonts w:cs="Arial"/>
          <w:szCs w:val="20"/>
        </w:rPr>
        <w:t xml:space="preserve">hanges in business processes or the internal control environment at the plan sponsor/administrator or third-party administrator </w:t>
      </w:r>
      <w:r w:rsidR="003A73CD" w:rsidRPr="00C361C5">
        <w:rPr>
          <w:rFonts w:cs="Arial"/>
          <w:szCs w:val="20"/>
        </w:rPr>
        <w:t>(</w:t>
      </w:r>
      <w:r w:rsidR="000A7E20" w:rsidRPr="00C361C5">
        <w:rPr>
          <w:rFonts w:cs="Arial"/>
          <w:szCs w:val="20"/>
        </w:rPr>
        <w:t xml:space="preserve">e.g., </w:t>
      </w:r>
      <w:r w:rsidR="00661DEF" w:rsidRPr="00C361C5">
        <w:rPr>
          <w:rFonts w:cs="Arial"/>
          <w:szCs w:val="20"/>
        </w:rPr>
        <w:t>a</w:t>
      </w:r>
      <w:r w:rsidR="000A7E20" w:rsidRPr="00C361C5">
        <w:rPr>
          <w:rFonts w:cs="Arial"/>
          <w:szCs w:val="20"/>
        </w:rPr>
        <w:t xml:space="preserve">n unfamiliar </w:t>
      </w:r>
      <w:r w:rsidR="00661DEF" w:rsidRPr="00C361C5">
        <w:rPr>
          <w:rFonts w:cs="Arial"/>
          <w:szCs w:val="20"/>
        </w:rPr>
        <w:t>remote work environment at the sponsor, reductions in employees, or changes in financial reporting responsibilities or other conditions</w:t>
      </w:r>
      <w:r w:rsidR="002E70E7" w:rsidRPr="00C361C5">
        <w:rPr>
          <w:rFonts w:cs="Arial"/>
          <w:szCs w:val="20"/>
        </w:rPr>
        <w:t>)</w:t>
      </w:r>
      <w:r w:rsidR="00661DEF" w:rsidRPr="00C361C5">
        <w:rPr>
          <w:rFonts w:cs="Arial"/>
          <w:szCs w:val="20"/>
        </w:rPr>
        <w:t xml:space="preserve"> that may have affected the internal control relevant to preparation of the financial statements and supplemental schedules </w:t>
      </w:r>
      <w:r w:rsidR="00033717" w:rsidRPr="00C361C5">
        <w:rPr>
          <w:rFonts w:cs="Arial"/>
          <w:szCs w:val="20"/>
        </w:rPr>
        <w:t>(</w:t>
      </w:r>
      <w:r w:rsidR="000A7E20" w:rsidRPr="00C361C5">
        <w:rPr>
          <w:rFonts w:cs="Arial"/>
          <w:szCs w:val="20"/>
        </w:rPr>
        <w:t xml:space="preserve">e.g., </w:t>
      </w:r>
      <w:r w:rsidR="004F5F8A" w:rsidRPr="00C361C5">
        <w:rPr>
          <w:rFonts w:cs="Arial"/>
          <w:szCs w:val="20"/>
        </w:rPr>
        <w:t xml:space="preserve">accruals and </w:t>
      </w:r>
      <w:r w:rsidR="0038505E" w:rsidRPr="00C361C5">
        <w:rPr>
          <w:rFonts w:cs="Arial"/>
          <w:szCs w:val="20"/>
        </w:rPr>
        <w:t xml:space="preserve">journal entries created </w:t>
      </w:r>
      <w:r w:rsidR="0038505E" w:rsidRPr="00C361C5">
        <w:rPr>
          <w:rFonts w:cs="Arial"/>
          <w:szCs w:val="20"/>
        </w:rPr>
        <w:lastRenderedPageBreak/>
        <w:t>subsequent to year end</w:t>
      </w:r>
      <w:r w:rsidR="00C76965" w:rsidRPr="00C361C5">
        <w:rPr>
          <w:rFonts w:cs="Arial"/>
          <w:szCs w:val="20"/>
        </w:rPr>
        <w:t xml:space="preserve">, </w:t>
      </w:r>
      <w:r w:rsidR="00403C76" w:rsidRPr="00C361C5">
        <w:rPr>
          <w:rFonts w:cs="Arial"/>
          <w:szCs w:val="20"/>
        </w:rPr>
        <w:t xml:space="preserve">evaluation of proper </w:t>
      </w:r>
      <w:r w:rsidR="00C76965" w:rsidRPr="00C361C5">
        <w:rPr>
          <w:rFonts w:cs="Arial"/>
          <w:szCs w:val="20"/>
        </w:rPr>
        <w:t>disclosures</w:t>
      </w:r>
      <w:r w:rsidR="004F5F8A" w:rsidRPr="00C361C5">
        <w:rPr>
          <w:rFonts w:cs="Arial"/>
          <w:szCs w:val="20"/>
        </w:rPr>
        <w:t xml:space="preserve"> </w:t>
      </w:r>
      <w:r w:rsidR="00D06A73" w:rsidRPr="00C361C5">
        <w:rPr>
          <w:rFonts w:cs="Arial"/>
          <w:szCs w:val="20"/>
        </w:rPr>
        <w:t xml:space="preserve">for </w:t>
      </w:r>
      <w:r w:rsidR="003A678C" w:rsidRPr="00C361C5">
        <w:rPr>
          <w:rFonts w:cs="Arial"/>
          <w:szCs w:val="20"/>
        </w:rPr>
        <w:t xml:space="preserve">risks and uncertainties, </w:t>
      </w:r>
      <w:r w:rsidR="004F5F8A" w:rsidRPr="00C361C5">
        <w:rPr>
          <w:rFonts w:cs="Arial"/>
          <w:szCs w:val="20"/>
        </w:rPr>
        <w:t>subsequent events</w:t>
      </w:r>
      <w:r w:rsidR="003A678C" w:rsidRPr="00C361C5">
        <w:rPr>
          <w:rFonts w:cs="Arial"/>
          <w:szCs w:val="20"/>
        </w:rPr>
        <w:t>, and going concern</w:t>
      </w:r>
      <w:r w:rsidR="00C76965" w:rsidRPr="00C361C5">
        <w:rPr>
          <w:rFonts w:cs="Arial"/>
          <w:szCs w:val="20"/>
        </w:rPr>
        <w:t>)</w:t>
      </w:r>
      <w:r w:rsidR="0062647F" w:rsidRPr="00C361C5">
        <w:rPr>
          <w:rFonts w:cs="Arial"/>
          <w:szCs w:val="20"/>
        </w:rPr>
        <w:t>.</w:t>
      </w:r>
    </w:p>
    <w:p w14:paraId="0164EEFB" w14:textId="77777777" w:rsidR="00661DEF" w:rsidRPr="00376B06" w:rsidRDefault="00661DEF" w:rsidP="00661DEF">
      <w:pPr>
        <w:pStyle w:val="ListParagraph"/>
        <w:rPr>
          <w:rFonts w:cs="Arial"/>
          <w:szCs w:val="20"/>
          <w:shd w:val="clear" w:color="auto" w:fill="FFFFFF"/>
        </w:rPr>
      </w:pPr>
    </w:p>
    <w:p w14:paraId="1830D14D" w14:textId="5294E2C3" w:rsidR="00661DEF" w:rsidRPr="00C361C5" w:rsidRDefault="00661DEF" w:rsidP="00661DEF">
      <w:pPr>
        <w:ind w:left="1440"/>
        <w:rPr>
          <w:rFonts w:ascii="Arial" w:hAnsi="Arial" w:cs="Arial"/>
          <w:sz w:val="20"/>
          <w:szCs w:val="20"/>
          <w:shd w:val="clear" w:color="auto" w:fill="FFFFFF"/>
        </w:rPr>
      </w:pPr>
      <w:r w:rsidRPr="00C361C5">
        <w:rPr>
          <w:rFonts w:ascii="Arial" w:hAnsi="Arial" w:cs="Arial"/>
          <w:sz w:val="20"/>
          <w:szCs w:val="20"/>
          <w:shd w:val="clear" w:color="auto" w:fill="FFFFFF"/>
        </w:rPr>
        <w:t>Obtaining an understanding of the entity and its environment, including its internal control, is a continuous, dynamic process of gathering, updating, and analyzing information throughout the audit (AU</w:t>
      </w:r>
      <w:r w:rsidR="000A7E20" w:rsidRPr="00C361C5">
        <w:rPr>
          <w:rFonts w:ascii="Arial" w:hAnsi="Arial" w:cs="Arial"/>
          <w:sz w:val="20"/>
          <w:szCs w:val="20"/>
          <w:shd w:val="clear" w:color="auto" w:fill="FFFFFF"/>
        </w:rPr>
        <w:t>-C</w:t>
      </w:r>
      <w:r w:rsidRPr="00C361C5">
        <w:rPr>
          <w:rFonts w:ascii="Arial" w:hAnsi="Arial" w:cs="Arial"/>
          <w:sz w:val="20"/>
          <w:szCs w:val="20"/>
          <w:shd w:val="clear" w:color="auto" w:fill="FFFFFF"/>
        </w:rPr>
        <w:t xml:space="preserve"> Section </w:t>
      </w:r>
      <w:r w:rsidR="00567664" w:rsidRPr="00C361C5">
        <w:rPr>
          <w:rFonts w:ascii="Arial" w:hAnsi="Arial" w:cs="Arial"/>
          <w:sz w:val="20"/>
          <w:szCs w:val="20"/>
          <w:shd w:val="clear" w:color="auto" w:fill="FFFFFF"/>
        </w:rPr>
        <w:t>315</w:t>
      </w:r>
      <w:r w:rsidR="009076D1" w:rsidRPr="00C361C5">
        <w:rPr>
          <w:rFonts w:ascii="Arial" w:hAnsi="Arial" w:cs="Arial"/>
          <w:sz w:val="20"/>
          <w:szCs w:val="20"/>
          <w:shd w:val="clear" w:color="auto" w:fill="FFFFFF"/>
        </w:rPr>
        <w:t>B</w:t>
      </w:r>
      <w:r w:rsidRPr="00C361C5">
        <w:rPr>
          <w:rFonts w:ascii="Arial" w:hAnsi="Arial" w:cs="Arial"/>
          <w:sz w:val="20"/>
          <w:szCs w:val="20"/>
          <w:shd w:val="clear" w:color="auto" w:fill="FFFFFF"/>
        </w:rPr>
        <w:t>, U</w:t>
      </w:r>
      <w:r w:rsidRPr="00C361C5">
        <w:rPr>
          <w:rFonts w:ascii="Arial" w:hAnsi="Arial" w:cs="Arial"/>
          <w:i/>
          <w:sz w:val="20"/>
          <w:szCs w:val="20"/>
          <w:shd w:val="clear" w:color="auto" w:fill="FFFFFF"/>
        </w:rPr>
        <w:t>nderstanding the Entity and Its Environment and Assessing the Risks of Material Misstatement</w:t>
      </w:r>
      <w:r w:rsidRPr="00C361C5">
        <w:rPr>
          <w:rFonts w:ascii="Arial" w:hAnsi="Arial" w:cs="Arial"/>
          <w:sz w:val="20"/>
          <w:szCs w:val="20"/>
          <w:shd w:val="clear" w:color="auto" w:fill="FFFFFF"/>
        </w:rPr>
        <w:t>).</w:t>
      </w:r>
      <w:r w:rsidR="00A701C6" w:rsidRPr="00C361C5">
        <w:rPr>
          <w:rStyle w:val="FootnoteReference"/>
          <w:rFonts w:ascii="Arial" w:hAnsi="Arial" w:cs="Arial"/>
          <w:sz w:val="20"/>
          <w:szCs w:val="20"/>
          <w:shd w:val="clear" w:color="auto" w:fill="FFFFFF"/>
        </w:rPr>
        <w:footnoteReference w:id="1"/>
      </w:r>
      <w:r w:rsidRPr="00C361C5">
        <w:rPr>
          <w:rFonts w:ascii="Arial" w:hAnsi="Arial" w:cs="Arial"/>
          <w:sz w:val="20"/>
          <w:szCs w:val="20"/>
          <w:shd w:val="clear" w:color="auto" w:fill="FFFFFF"/>
        </w:rPr>
        <w:t xml:space="preserve"> </w:t>
      </w:r>
      <w:r w:rsidR="00567664" w:rsidRPr="00C361C5">
        <w:rPr>
          <w:rFonts w:ascii="Arial" w:hAnsi="Arial" w:cs="Arial"/>
          <w:sz w:val="20"/>
          <w:szCs w:val="20"/>
          <w:shd w:val="clear" w:color="auto" w:fill="FFFFFF"/>
        </w:rPr>
        <w:t xml:space="preserve">When </w:t>
      </w:r>
      <w:r w:rsidRPr="00C361C5">
        <w:rPr>
          <w:rFonts w:ascii="Arial" w:hAnsi="Arial" w:cs="Arial"/>
          <w:sz w:val="20"/>
          <w:szCs w:val="20"/>
          <w:shd w:val="clear" w:color="auto" w:fill="FFFFFF"/>
        </w:rPr>
        <w:t>performing audits of calendar-year 2019 plan financial statements, auditors need to remember that part of the plan’s system of internal control is closing its books; preparing journal entries; and preparing, reviewing and approving financial statements. Even though the plan year ended December 31, controls relevant to preparing, reviewing and approving the financial statements may still have been operating for periods past that December 31 date.</w:t>
      </w:r>
    </w:p>
    <w:p w14:paraId="75518372" w14:textId="77777777" w:rsidR="008C13EF" w:rsidRPr="00C361C5" w:rsidRDefault="008C13EF" w:rsidP="00376B06">
      <w:pPr>
        <w:pStyle w:val="ListParagraph"/>
        <w:rPr>
          <w:rFonts w:cs="Arial"/>
          <w:szCs w:val="20"/>
          <w:shd w:val="clear" w:color="auto" w:fill="FFFFFF"/>
        </w:rPr>
      </w:pPr>
    </w:p>
    <w:p w14:paraId="2F7533FC" w14:textId="6251C077" w:rsidR="00901538" w:rsidRPr="00C361C5" w:rsidRDefault="00961B17" w:rsidP="004B755E">
      <w:pPr>
        <w:ind w:left="1440"/>
        <w:rPr>
          <w:rFonts w:ascii="Arial" w:hAnsi="Arial" w:cs="Arial"/>
          <w:sz w:val="20"/>
          <w:szCs w:val="20"/>
        </w:rPr>
      </w:pPr>
      <w:r w:rsidRPr="00C361C5">
        <w:rPr>
          <w:rFonts w:ascii="Arial" w:hAnsi="Arial" w:cs="Arial"/>
          <w:sz w:val="20"/>
          <w:szCs w:val="20"/>
        </w:rPr>
        <w:t xml:space="preserve">As </w:t>
      </w:r>
      <w:r w:rsidR="009E6ECB" w:rsidRPr="00C361C5">
        <w:rPr>
          <w:rFonts w:ascii="Arial" w:hAnsi="Arial" w:cs="Arial"/>
          <w:sz w:val="20"/>
          <w:szCs w:val="20"/>
        </w:rPr>
        <w:t xml:space="preserve">plan sponsor/administrators </w:t>
      </w:r>
      <w:r w:rsidRPr="00C361C5">
        <w:rPr>
          <w:rFonts w:ascii="Arial" w:hAnsi="Arial" w:cs="Arial"/>
          <w:sz w:val="20"/>
          <w:szCs w:val="20"/>
        </w:rPr>
        <w:t xml:space="preserve">shifted from the office environment to remote working, and as financial reporting processes moved from in-person to virtual, the risk of breakdowns in internal control </w:t>
      </w:r>
      <w:r w:rsidR="009E6ECB" w:rsidRPr="00C361C5">
        <w:rPr>
          <w:rFonts w:ascii="Arial" w:hAnsi="Arial" w:cs="Arial"/>
          <w:sz w:val="20"/>
          <w:szCs w:val="20"/>
        </w:rPr>
        <w:t xml:space="preserve">may </w:t>
      </w:r>
      <w:r w:rsidR="00381359" w:rsidRPr="00C361C5">
        <w:rPr>
          <w:rFonts w:ascii="Arial" w:hAnsi="Arial" w:cs="Arial"/>
          <w:sz w:val="20"/>
          <w:szCs w:val="20"/>
        </w:rPr>
        <w:t>be heightened</w:t>
      </w:r>
      <w:r w:rsidR="009E6ECB" w:rsidRPr="00C361C5">
        <w:rPr>
          <w:rFonts w:ascii="Arial" w:hAnsi="Arial" w:cs="Arial"/>
          <w:sz w:val="20"/>
          <w:szCs w:val="20"/>
        </w:rPr>
        <w:t>.</w:t>
      </w:r>
      <w:r w:rsidR="004041BD" w:rsidRPr="00C361C5">
        <w:rPr>
          <w:rFonts w:ascii="Arial" w:hAnsi="Arial" w:cs="Arial"/>
          <w:sz w:val="20"/>
          <w:szCs w:val="20"/>
        </w:rPr>
        <w:t xml:space="preserve"> The client’s relevant controls may have changed dramatically during the pandemic to accommodate remote workforces and process flows. When this is the case, the auditor may be required to conduct two evaluations of the design and implementation of relevant controls: one for controls that were in place before the pandemic and another for controls put in place after the pandemic commenced. This will depend upon the nature of the control and how the pandemic affected the client’s operations.</w:t>
      </w:r>
    </w:p>
    <w:p w14:paraId="3FC72A5D" w14:textId="56B114EA" w:rsidR="004E5D46" w:rsidRPr="00C361C5" w:rsidRDefault="004E5D46" w:rsidP="004B755E">
      <w:pPr>
        <w:ind w:left="1440"/>
        <w:rPr>
          <w:rFonts w:ascii="Arial" w:hAnsi="Arial" w:cs="Arial"/>
          <w:sz w:val="20"/>
          <w:szCs w:val="20"/>
          <w:shd w:val="clear" w:color="auto" w:fill="FFFFFF"/>
        </w:rPr>
      </w:pPr>
    </w:p>
    <w:p w14:paraId="4A9D94AB" w14:textId="3F27890D" w:rsidR="003C1E26" w:rsidRPr="00C361C5" w:rsidRDefault="004E5D46" w:rsidP="003C1E26">
      <w:pPr>
        <w:ind w:left="1440"/>
        <w:rPr>
          <w:rFonts w:ascii="Arial" w:hAnsi="Arial" w:cs="Arial"/>
          <w:sz w:val="20"/>
          <w:szCs w:val="20"/>
        </w:rPr>
      </w:pPr>
      <w:r w:rsidRPr="00C361C5">
        <w:rPr>
          <w:rFonts w:ascii="Arial" w:hAnsi="Arial" w:cs="Arial"/>
          <w:sz w:val="20"/>
          <w:szCs w:val="20"/>
        </w:rPr>
        <w:t>Appendix B</w:t>
      </w:r>
      <w:r w:rsidR="00567664" w:rsidRPr="00C361C5">
        <w:rPr>
          <w:rFonts w:ascii="Arial" w:hAnsi="Arial" w:cs="Arial"/>
          <w:sz w:val="20"/>
          <w:szCs w:val="20"/>
        </w:rPr>
        <w:t>, “Examples of Controls”</w:t>
      </w:r>
      <w:r w:rsidRPr="00C361C5">
        <w:rPr>
          <w:rFonts w:ascii="Arial" w:hAnsi="Arial" w:cs="Arial"/>
          <w:sz w:val="20"/>
          <w:szCs w:val="20"/>
        </w:rPr>
        <w:t xml:space="preserve"> of the AICPA Audit and Accounting Guide: </w:t>
      </w:r>
      <w:r w:rsidRPr="00C361C5">
        <w:rPr>
          <w:rFonts w:ascii="Arial" w:hAnsi="Arial" w:cs="Arial"/>
          <w:i/>
          <w:sz w:val="20"/>
          <w:szCs w:val="20"/>
        </w:rPr>
        <w:t>Employee Benefit Plans</w:t>
      </w:r>
      <w:r w:rsidRPr="00C361C5">
        <w:rPr>
          <w:rFonts w:ascii="Arial" w:hAnsi="Arial" w:cs="Arial"/>
          <w:sz w:val="20"/>
          <w:szCs w:val="20"/>
        </w:rPr>
        <w:t xml:space="preserve"> includes examples of financial reporting controls including controls </w:t>
      </w:r>
      <w:r w:rsidR="00B519F3" w:rsidRPr="00C361C5">
        <w:rPr>
          <w:rFonts w:ascii="Arial" w:hAnsi="Arial" w:cs="Arial"/>
          <w:sz w:val="20"/>
          <w:szCs w:val="20"/>
        </w:rPr>
        <w:t xml:space="preserve">that </w:t>
      </w:r>
      <w:r w:rsidRPr="00C361C5">
        <w:rPr>
          <w:rFonts w:ascii="Arial" w:hAnsi="Arial" w:cs="Arial"/>
          <w:sz w:val="20"/>
          <w:szCs w:val="20"/>
        </w:rPr>
        <w:t>should provide reasonable assurance that</w:t>
      </w:r>
      <w:r w:rsidR="00344BBB" w:rsidRPr="00C361C5">
        <w:rPr>
          <w:rFonts w:ascii="Arial" w:hAnsi="Arial" w:cs="Arial"/>
          <w:sz w:val="20"/>
          <w:szCs w:val="20"/>
        </w:rPr>
        <w:t>:</w:t>
      </w:r>
    </w:p>
    <w:p w14:paraId="554165BC" w14:textId="6DDC2A76" w:rsidR="00344BBB" w:rsidRPr="00C361C5" w:rsidRDefault="004E5D46" w:rsidP="00344BBB">
      <w:pPr>
        <w:pStyle w:val="ListParagraph"/>
        <w:numPr>
          <w:ilvl w:val="2"/>
          <w:numId w:val="18"/>
        </w:numPr>
        <w:rPr>
          <w:rFonts w:cs="Arial"/>
          <w:szCs w:val="20"/>
        </w:rPr>
      </w:pPr>
      <w:r w:rsidRPr="00C361C5">
        <w:rPr>
          <w:rFonts w:cs="Arial"/>
          <w:szCs w:val="20"/>
        </w:rPr>
        <w:t>the annual plan reports are complete, accurate, and generated on a timely basis;</w:t>
      </w:r>
    </w:p>
    <w:p w14:paraId="15F3206A" w14:textId="34CC3B4A" w:rsidR="00344BBB" w:rsidRPr="00C361C5" w:rsidRDefault="004E5D46" w:rsidP="00344BBB">
      <w:pPr>
        <w:pStyle w:val="ListParagraph"/>
        <w:numPr>
          <w:ilvl w:val="2"/>
          <w:numId w:val="18"/>
        </w:numPr>
        <w:rPr>
          <w:rFonts w:cs="Arial"/>
          <w:szCs w:val="20"/>
        </w:rPr>
      </w:pPr>
      <w:r w:rsidRPr="00C361C5">
        <w:rPr>
          <w:rFonts w:cs="Arial"/>
          <w:szCs w:val="20"/>
        </w:rPr>
        <w:t>accurate plan data is available to provide accurate results when annual testing is performed;</w:t>
      </w:r>
    </w:p>
    <w:p w14:paraId="5D6C5FE4" w14:textId="1A0B67AB" w:rsidR="00344BBB" w:rsidRPr="00C361C5" w:rsidRDefault="004E5D46" w:rsidP="00344BBB">
      <w:pPr>
        <w:pStyle w:val="ListParagraph"/>
        <w:numPr>
          <w:ilvl w:val="2"/>
          <w:numId w:val="18"/>
        </w:numPr>
        <w:rPr>
          <w:rFonts w:cs="Arial"/>
          <w:szCs w:val="20"/>
        </w:rPr>
      </w:pPr>
      <w:r w:rsidRPr="00C361C5">
        <w:rPr>
          <w:rFonts w:cs="Arial"/>
          <w:szCs w:val="20"/>
        </w:rPr>
        <w:t>that access to computer resources, such as application programs, data files, sensitive utilities, and system commands, is limited to authorized individuals;</w:t>
      </w:r>
    </w:p>
    <w:p w14:paraId="1C747E15" w14:textId="05EC830E" w:rsidR="004E5D46" w:rsidRPr="00C361C5" w:rsidRDefault="00942458" w:rsidP="001129E7">
      <w:pPr>
        <w:pStyle w:val="ListParagraph"/>
        <w:numPr>
          <w:ilvl w:val="2"/>
          <w:numId w:val="18"/>
        </w:numPr>
        <w:rPr>
          <w:rFonts w:cs="Arial"/>
          <w:szCs w:val="20"/>
        </w:rPr>
      </w:pPr>
      <w:r w:rsidRPr="00C361C5">
        <w:rPr>
          <w:rFonts w:cs="Arial"/>
          <w:szCs w:val="20"/>
        </w:rPr>
        <w:t xml:space="preserve">and </w:t>
      </w:r>
      <w:r w:rsidR="004E5D46" w:rsidRPr="00C361C5">
        <w:rPr>
          <w:rFonts w:cs="Arial"/>
          <w:szCs w:val="20"/>
        </w:rPr>
        <w:t>remote access to recordkeeping systems are established for authorized individuals and customers.</w:t>
      </w:r>
    </w:p>
    <w:p w14:paraId="245DE43A" w14:textId="1F6684F2" w:rsidR="006146F9" w:rsidRPr="00C361C5" w:rsidRDefault="006146F9" w:rsidP="004B755E">
      <w:pPr>
        <w:ind w:left="1440"/>
        <w:rPr>
          <w:rFonts w:ascii="Arial" w:hAnsi="Arial" w:cs="Arial"/>
          <w:sz w:val="20"/>
          <w:szCs w:val="20"/>
          <w:shd w:val="clear" w:color="auto" w:fill="FFFFFF"/>
        </w:rPr>
      </w:pPr>
    </w:p>
    <w:p w14:paraId="44D0F18A" w14:textId="23A91A48" w:rsidR="00FA62AE" w:rsidRPr="00C361C5" w:rsidRDefault="001305C9" w:rsidP="00FA62AE">
      <w:pPr>
        <w:pStyle w:val="ListParagraph"/>
        <w:numPr>
          <w:ilvl w:val="0"/>
          <w:numId w:val="20"/>
        </w:numPr>
        <w:rPr>
          <w:rFonts w:cs="Arial"/>
          <w:szCs w:val="20"/>
        </w:rPr>
      </w:pPr>
      <w:r w:rsidRPr="00C361C5">
        <w:rPr>
          <w:rFonts w:cs="Arial"/>
          <w:szCs w:val="20"/>
        </w:rPr>
        <w:t>C</w:t>
      </w:r>
      <w:r w:rsidR="00985F1A" w:rsidRPr="00C361C5">
        <w:rPr>
          <w:rFonts w:cs="Arial"/>
          <w:szCs w:val="20"/>
        </w:rPr>
        <w:t xml:space="preserve">ompleteness, accuracy and authenticity of </w:t>
      </w:r>
      <w:r w:rsidR="00FA62AE" w:rsidRPr="00C361C5">
        <w:rPr>
          <w:rFonts w:cs="Arial"/>
          <w:szCs w:val="20"/>
        </w:rPr>
        <w:t>plan records</w:t>
      </w:r>
      <w:r w:rsidR="00985F1A" w:rsidRPr="00C361C5">
        <w:rPr>
          <w:rFonts w:cs="Arial"/>
          <w:szCs w:val="20"/>
        </w:rPr>
        <w:t>.</w:t>
      </w:r>
    </w:p>
    <w:p w14:paraId="1ECF2708" w14:textId="77777777" w:rsidR="00FA62AE" w:rsidRPr="00C361C5" w:rsidRDefault="00FA62AE" w:rsidP="00FA62AE">
      <w:pPr>
        <w:autoSpaceDE w:val="0"/>
        <w:autoSpaceDN w:val="0"/>
        <w:adjustRightInd w:val="0"/>
        <w:ind w:left="1440"/>
        <w:rPr>
          <w:rFonts w:ascii="Arial" w:hAnsi="Arial" w:cs="Arial"/>
          <w:sz w:val="20"/>
          <w:szCs w:val="20"/>
        </w:rPr>
      </w:pPr>
    </w:p>
    <w:p w14:paraId="0C1926F7" w14:textId="5F9D2289" w:rsidR="00FA62AE" w:rsidRPr="00C361C5" w:rsidRDefault="00FA62AE" w:rsidP="00FA62AE">
      <w:pPr>
        <w:autoSpaceDE w:val="0"/>
        <w:autoSpaceDN w:val="0"/>
        <w:adjustRightInd w:val="0"/>
        <w:ind w:left="1440"/>
        <w:rPr>
          <w:rFonts w:ascii="Arial" w:hAnsi="Arial" w:cs="Arial"/>
          <w:sz w:val="20"/>
          <w:szCs w:val="20"/>
        </w:rPr>
      </w:pPr>
      <w:r w:rsidRPr="00C361C5">
        <w:rPr>
          <w:rFonts w:ascii="Arial" w:hAnsi="Arial" w:cs="Arial"/>
          <w:sz w:val="20"/>
          <w:szCs w:val="20"/>
        </w:rPr>
        <w:t xml:space="preserve">During the </w:t>
      </w:r>
      <w:r w:rsidR="009F4B69" w:rsidRPr="00C361C5">
        <w:rPr>
          <w:rFonts w:ascii="Arial" w:hAnsi="Arial" w:cs="Arial"/>
          <w:sz w:val="20"/>
          <w:szCs w:val="20"/>
        </w:rPr>
        <w:t xml:space="preserve">COVID </w:t>
      </w:r>
      <w:r w:rsidRPr="00C361C5">
        <w:rPr>
          <w:rFonts w:ascii="Arial" w:hAnsi="Arial" w:cs="Arial"/>
          <w:sz w:val="20"/>
          <w:szCs w:val="20"/>
        </w:rPr>
        <w:t xml:space="preserve">pandemic, accessing client books and records may present hurdles for some auditors, especially in cases </w:t>
      </w:r>
      <w:r w:rsidR="000F159F" w:rsidRPr="00C361C5">
        <w:rPr>
          <w:rFonts w:ascii="Arial" w:hAnsi="Arial" w:cs="Arial"/>
          <w:sz w:val="20"/>
          <w:szCs w:val="20"/>
        </w:rPr>
        <w:t xml:space="preserve">in which </w:t>
      </w:r>
      <w:r w:rsidRPr="00C361C5">
        <w:rPr>
          <w:rFonts w:ascii="Arial" w:hAnsi="Arial" w:cs="Arial"/>
          <w:sz w:val="20"/>
          <w:szCs w:val="20"/>
        </w:rPr>
        <w:t>clients still maintain mostly paper records. Auditors may be able to obtain client</w:t>
      </w:r>
      <w:r w:rsidRPr="00C361C5">
        <w:rPr>
          <w:rFonts w:ascii="Cambria Math" w:hAnsi="Cambria Math" w:cs="Cambria Math"/>
          <w:sz w:val="20"/>
          <w:szCs w:val="20"/>
        </w:rPr>
        <w:t>‐</w:t>
      </w:r>
      <w:r w:rsidRPr="00C361C5">
        <w:rPr>
          <w:rFonts w:ascii="Arial" w:hAnsi="Arial" w:cs="Arial"/>
          <w:sz w:val="20"/>
          <w:szCs w:val="20"/>
        </w:rPr>
        <w:t>prepared copies or scans of key records, but auditors need to consider the authenticity of those records and perhaps perform additional audit procedures to be satisfied that those records are complete, accurate, and authentic.</w:t>
      </w:r>
    </w:p>
    <w:p w14:paraId="48ADAD54" w14:textId="77777777" w:rsidR="00FA62AE" w:rsidRPr="00C361C5" w:rsidRDefault="00FA62AE" w:rsidP="00FA62AE">
      <w:pPr>
        <w:autoSpaceDE w:val="0"/>
        <w:autoSpaceDN w:val="0"/>
        <w:adjustRightInd w:val="0"/>
        <w:ind w:left="1440"/>
        <w:rPr>
          <w:rFonts w:ascii="Arial" w:hAnsi="Arial" w:cs="Arial"/>
          <w:sz w:val="20"/>
          <w:szCs w:val="20"/>
        </w:rPr>
      </w:pPr>
    </w:p>
    <w:p w14:paraId="072A79F7" w14:textId="2A42D7B5" w:rsidR="00B248A1" w:rsidRPr="00C361C5" w:rsidRDefault="001C47A5" w:rsidP="00326ACF">
      <w:pPr>
        <w:pStyle w:val="ListParagraph"/>
        <w:numPr>
          <w:ilvl w:val="0"/>
          <w:numId w:val="20"/>
        </w:numPr>
        <w:rPr>
          <w:rFonts w:cs="Arial"/>
          <w:szCs w:val="20"/>
        </w:rPr>
      </w:pPr>
      <w:r w:rsidRPr="00C361C5">
        <w:rPr>
          <w:rFonts w:cs="Arial"/>
          <w:szCs w:val="20"/>
        </w:rPr>
        <w:t>P</w:t>
      </w:r>
      <w:r w:rsidR="00B248A1" w:rsidRPr="00C361C5">
        <w:rPr>
          <w:rFonts w:cs="Arial"/>
          <w:szCs w:val="20"/>
        </w:rPr>
        <w:t>rotect</w:t>
      </w:r>
      <w:r w:rsidRPr="00C361C5">
        <w:rPr>
          <w:rFonts w:cs="Arial"/>
          <w:szCs w:val="20"/>
        </w:rPr>
        <w:t>ing</w:t>
      </w:r>
      <w:r w:rsidR="00B248A1" w:rsidRPr="00C361C5">
        <w:rPr>
          <w:rFonts w:cs="Arial"/>
          <w:szCs w:val="20"/>
        </w:rPr>
        <w:t xml:space="preserve"> confidential client information while working remotely</w:t>
      </w:r>
      <w:r w:rsidR="003F29C6" w:rsidRPr="00C361C5">
        <w:rPr>
          <w:rFonts w:cs="Arial"/>
          <w:szCs w:val="20"/>
        </w:rPr>
        <w:t>.</w:t>
      </w:r>
    </w:p>
    <w:p w14:paraId="09CAB158" w14:textId="77777777" w:rsidR="00B248A1" w:rsidRPr="00C361C5" w:rsidRDefault="00B248A1" w:rsidP="00B248A1">
      <w:pPr>
        <w:ind w:left="1440"/>
        <w:rPr>
          <w:rFonts w:ascii="Arial" w:hAnsi="Arial" w:cs="Arial"/>
          <w:sz w:val="20"/>
          <w:szCs w:val="20"/>
        </w:rPr>
      </w:pPr>
    </w:p>
    <w:p w14:paraId="371A1A43" w14:textId="615A10D8" w:rsidR="00FD26FD" w:rsidRPr="00C361C5" w:rsidRDefault="00B248A1" w:rsidP="00326ACF">
      <w:pPr>
        <w:ind w:left="1440"/>
        <w:rPr>
          <w:rFonts w:ascii="Arial" w:hAnsi="Arial" w:cs="Arial"/>
          <w:sz w:val="20"/>
          <w:szCs w:val="20"/>
        </w:rPr>
      </w:pPr>
      <w:r w:rsidRPr="00C361C5">
        <w:rPr>
          <w:rFonts w:ascii="Arial" w:hAnsi="Arial" w:cs="Arial"/>
          <w:sz w:val="20"/>
          <w:szCs w:val="20"/>
        </w:rPr>
        <w:t>When conducting an employee benefit plan audit, auditors receive and maintain large amounts of personal information (</w:t>
      </w:r>
      <w:r w:rsidR="00441A83" w:rsidRPr="00C361C5">
        <w:rPr>
          <w:rFonts w:ascii="Arial" w:hAnsi="Arial" w:cs="Arial"/>
          <w:sz w:val="20"/>
          <w:szCs w:val="20"/>
        </w:rPr>
        <w:t>e.g.</w:t>
      </w:r>
      <w:r w:rsidRPr="00C361C5">
        <w:rPr>
          <w:rFonts w:ascii="Arial" w:hAnsi="Arial" w:cs="Arial"/>
          <w:sz w:val="20"/>
          <w:szCs w:val="20"/>
        </w:rPr>
        <w:t>, name, address, date of birth, Social Security number, financial account number, and health information) the confidentiality of which is protected by both federal (the Health Insurance Portability and Accountability Act (“HIPAA”) and Technology for Economic and Clinical Health (“HITECH”) Act), and state laws and regulations. Auditors can reduce the likelihood of a breach by employing reasonable safeguards to protect confidential information, such as the following:</w:t>
      </w:r>
    </w:p>
    <w:p w14:paraId="698EF263" w14:textId="5745235B" w:rsidR="00441A83" w:rsidRPr="00C361C5" w:rsidRDefault="00B248A1" w:rsidP="00441A83">
      <w:pPr>
        <w:pStyle w:val="ListParagraph"/>
        <w:numPr>
          <w:ilvl w:val="2"/>
          <w:numId w:val="20"/>
        </w:numPr>
        <w:rPr>
          <w:rFonts w:cs="Arial"/>
          <w:szCs w:val="20"/>
        </w:rPr>
      </w:pPr>
      <w:r w:rsidRPr="00C361C5">
        <w:rPr>
          <w:rFonts w:cs="Arial"/>
          <w:szCs w:val="20"/>
        </w:rPr>
        <w:t>using of encryption when transferring electronic files;</w:t>
      </w:r>
    </w:p>
    <w:p w14:paraId="42E21FAB" w14:textId="77777777" w:rsidR="00441A83" w:rsidRPr="00C361C5" w:rsidRDefault="00B248A1" w:rsidP="00441A83">
      <w:pPr>
        <w:pStyle w:val="ListParagraph"/>
        <w:numPr>
          <w:ilvl w:val="2"/>
          <w:numId w:val="20"/>
        </w:numPr>
        <w:rPr>
          <w:rFonts w:cs="Arial"/>
          <w:szCs w:val="20"/>
        </w:rPr>
      </w:pPr>
      <w:r w:rsidRPr="00C361C5">
        <w:rPr>
          <w:rFonts w:cs="Arial"/>
          <w:szCs w:val="20"/>
        </w:rPr>
        <w:t>using file passwords;</w:t>
      </w:r>
    </w:p>
    <w:p w14:paraId="0C8C924C" w14:textId="126A41B0" w:rsidR="00441A83" w:rsidRPr="00C361C5" w:rsidRDefault="00B248A1" w:rsidP="00441A83">
      <w:pPr>
        <w:pStyle w:val="ListParagraph"/>
        <w:numPr>
          <w:ilvl w:val="2"/>
          <w:numId w:val="20"/>
        </w:numPr>
        <w:rPr>
          <w:rFonts w:cs="Arial"/>
          <w:szCs w:val="20"/>
        </w:rPr>
      </w:pPr>
      <w:r w:rsidRPr="00C361C5">
        <w:rPr>
          <w:rFonts w:cs="Arial"/>
          <w:szCs w:val="20"/>
        </w:rPr>
        <w:t xml:space="preserve"> increasing physical safeguards over confidential information (</w:t>
      </w:r>
      <w:r w:rsidR="00441A83" w:rsidRPr="00C361C5">
        <w:rPr>
          <w:rFonts w:cs="Arial"/>
          <w:szCs w:val="20"/>
        </w:rPr>
        <w:t>e.g.</w:t>
      </w:r>
      <w:r w:rsidRPr="00C361C5">
        <w:rPr>
          <w:rFonts w:cs="Arial"/>
          <w:szCs w:val="20"/>
        </w:rPr>
        <w:t>, safeguarding of computers that contain confidential information or proper safeguarding of physical documents);</w:t>
      </w:r>
    </w:p>
    <w:p w14:paraId="18F83CEC" w14:textId="1166B86F" w:rsidR="00441A83" w:rsidRPr="00C361C5" w:rsidRDefault="00B248A1" w:rsidP="00441A83">
      <w:pPr>
        <w:pStyle w:val="ListParagraph"/>
        <w:numPr>
          <w:ilvl w:val="2"/>
          <w:numId w:val="20"/>
        </w:numPr>
        <w:rPr>
          <w:rFonts w:cs="Arial"/>
          <w:szCs w:val="20"/>
        </w:rPr>
      </w:pPr>
      <w:r w:rsidRPr="00C361C5">
        <w:rPr>
          <w:rFonts w:cs="Arial"/>
          <w:szCs w:val="20"/>
        </w:rPr>
        <w:t>de-identifying claims information in audit documentation;</w:t>
      </w:r>
    </w:p>
    <w:p w14:paraId="30F9C9E5" w14:textId="18379467" w:rsidR="00B248A1" w:rsidRPr="00C361C5" w:rsidRDefault="00B248A1" w:rsidP="004270AB">
      <w:pPr>
        <w:pStyle w:val="ListParagraph"/>
        <w:numPr>
          <w:ilvl w:val="2"/>
          <w:numId w:val="20"/>
        </w:numPr>
        <w:rPr>
          <w:rFonts w:cs="Arial"/>
          <w:szCs w:val="20"/>
        </w:rPr>
      </w:pPr>
      <w:r w:rsidRPr="00C361C5">
        <w:rPr>
          <w:rFonts w:cs="Arial"/>
          <w:szCs w:val="20"/>
        </w:rPr>
        <w:t>returning written information not needed for audit file documentation.</w:t>
      </w:r>
    </w:p>
    <w:p w14:paraId="0EB529E8" w14:textId="77777777" w:rsidR="00517D40" w:rsidRPr="00C361C5" w:rsidRDefault="00517D40" w:rsidP="00517D40">
      <w:pPr>
        <w:rPr>
          <w:rFonts w:ascii="Arial" w:hAnsi="Arial" w:cs="Arial"/>
          <w:sz w:val="20"/>
          <w:szCs w:val="20"/>
        </w:rPr>
      </w:pPr>
    </w:p>
    <w:p w14:paraId="0C2EEA05" w14:textId="4FA74B2A" w:rsidR="00DC4CB7" w:rsidRPr="00C361C5" w:rsidRDefault="003F29C6" w:rsidP="00DC4CB7">
      <w:pPr>
        <w:pStyle w:val="ListParagraph"/>
        <w:numPr>
          <w:ilvl w:val="0"/>
          <w:numId w:val="19"/>
        </w:numPr>
        <w:rPr>
          <w:rFonts w:cs="Arial"/>
          <w:szCs w:val="20"/>
        </w:rPr>
      </w:pPr>
      <w:r w:rsidRPr="00C361C5">
        <w:rPr>
          <w:rFonts w:cs="Arial"/>
          <w:szCs w:val="20"/>
        </w:rPr>
        <w:t>A</w:t>
      </w:r>
      <w:r w:rsidR="00DC4CB7" w:rsidRPr="00C361C5">
        <w:rPr>
          <w:rFonts w:cs="Arial"/>
          <w:szCs w:val="20"/>
        </w:rPr>
        <w:t>dditional management representation</w:t>
      </w:r>
      <w:r w:rsidRPr="00C361C5">
        <w:rPr>
          <w:rFonts w:cs="Arial"/>
          <w:szCs w:val="20"/>
        </w:rPr>
        <w:t>s</w:t>
      </w:r>
      <w:r w:rsidR="003C1E26" w:rsidRPr="00C361C5">
        <w:rPr>
          <w:rFonts w:cs="Arial"/>
          <w:szCs w:val="20"/>
        </w:rPr>
        <w:t>,</w:t>
      </w:r>
      <w:r w:rsidR="00DC4CB7" w:rsidRPr="00C361C5">
        <w:rPr>
          <w:rFonts w:cs="Arial"/>
          <w:szCs w:val="20"/>
        </w:rPr>
        <w:t xml:space="preserve"> including </w:t>
      </w:r>
      <w:r w:rsidRPr="00C361C5">
        <w:rPr>
          <w:rFonts w:cs="Arial"/>
          <w:szCs w:val="20"/>
        </w:rPr>
        <w:t xml:space="preserve">risks and uncertainties, subsequent event(s), </w:t>
      </w:r>
      <w:r w:rsidR="00DC4CB7" w:rsidRPr="00C361C5">
        <w:rPr>
          <w:rFonts w:cs="Arial"/>
          <w:szCs w:val="20"/>
        </w:rPr>
        <w:t>going concern assumption</w:t>
      </w:r>
      <w:r w:rsidRPr="00C361C5">
        <w:rPr>
          <w:rFonts w:cs="Arial"/>
          <w:szCs w:val="20"/>
        </w:rPr>
        <w:t>s</w:t>
      </w:r>
      <w:r w:rsidR="003C1E26" w:rsidRPr="00C361C5">
        <w:rPr>
          <w:rFonts w:cs="Arial"/>
          <w:szCs w:val="20"/>
        </w:rPr>
        <w:t>,</w:t>
      </w:r>
      <w:r w:rsidRPr="00C361C5">
        <w:rPr>
          <w:rFonts w:cs="Arial"/>
          <w:szCs w:val="20"/>
        </w:rPr>
        <w:t xml:space="preserve"> </w:t>
      </w:r>
      <w:r w:rsidR="00DC4CB7" w:rsidRPr="00C361C5">
        <w:rPr>
          <w:rFonts w:cs="Arial"/>
          <w:szCs w:val="20"/>
        </w:rPr>
        <w:t>or other matters</w:t>
      </w:r>
      <w:r w:rsidR="008A31BD" w:rsidRPr="00C361C5">
        <w:rPr>
          <w:rFonts w:cs="Arial"/>
          <w:szCs w:val="20"/>
        </w:rPr>
        <w:t xml:space="preserve"> per AU-C section 580, </w:t>
      </w:r>
      <w:r w:rsidR="008A31BD" w:rsidRPr="00C361C5">
        <w:rPr>
          <w:rFonts w:cs="Arial"/>
          <w:i/>
          <w:iCs/>
          <w:szCs w:val="20"/>
        </w:rPr>
        <w:t>Written Representations</w:t>
      </w:r>
      <w:r w:rsidR="007C1CE0" w:rsidRPr="00C361C5">
        <w:rPr>
          <w:rFonts w:cs="Arial"/>
          <w:szCs w:val="20"/>
        </w:rPr>
        <w:t>.</w:t>
      </w:r>
    </w:p>
    <w:p w14:paraId="103CB3AE" w14:textId="03C5E4C5" w:rsidR="00B248A1" w:rsidRPr="00C361C5" w:rsidRDefault="00B248A1" w:rsidP="00B248A1">
      <w:pPr>
        <w:rPr>
          <w:rFonts w:ascii="Arial" w:hAnsi="Arial" w:cs="Arial"/>
          <w:sz w:val="20"/>
          <w:szCs w:val="20"/>
        </w:rPr>
      </w:pPr>
    </w:p>
    <w:p w14:paraId="7CB7CB57" w14:textId="2CFF7BA3" w:rsidR="00A91CF0" w:rsidRPr="00C361C5" w:rsidRDefault="007C1CE0">
      <w:pPr>
        <w:pStyle w:val="ListParagraph"/>
        <w:numPr>
          <w:ilvl w:val="0"/>
          <w:numId w:val="20"/>
        </w:numPr>
        <w:rPr>
          <w:rFonts w:cs="Arial"/>
          <w:szCs w:val="20"/>
        </w:rPr>
      </w:pPr>
      <w:r w:rsidRPr="00C361C5">
        <w:rPr>
          <w:rFonts w:cs="Arial"/>
          <w:szCs w:val="20"/>
        </w:rPr>
        <w:t>P</w:t>
      </w:r>
      <w:r w:rsidR="00D24B78" w:rsidRPr="00C361C5">
        <w:rPr>
          <w:rFonts w:cs="Arial"/>
          <w:szCs w:val="20"/>
        </w:rPr>
        <w:t xml:space="preserve">ossible </w:t>
      </w:r>
      <w:r w:rsidR="00194314" w:rsidRPr="00C361C5">
        <w:rPr>
          <w:rFonts w:cs="Arial"/>
          <w:szCs w:val="20"/>
        </w:rPr>
        <w:t>audit scope limitations</w:t>
      </w:r>
      <w:r w:rsidRPr="00C361C5">
        <w:rPr>
          <w:rFonts w:cs="Arial"/>
          <w:szCs w:val="20"/>
        </w:rPr>
        <w:t>.</w:t>
      </w:r>
    </w:p>
    <w:p w14:paraId="2048486B" w14:textId="5F34C803" w:rsidR="00B20AF0" w:rsidRPr="00C361C5" w:rsidRDefault="00B248A1" w:rsidP="00B20AF0">
      <w:pPr>
        <w:shd w:val="clear" w:color="auto" w:fill="FFFFFF"/>
        <w:spacing w:before="100" w:beforeAutospacing="1" w:after="100" w:afterAutospacing="1"/>
        <w:ind w:left="1440"/>
        <w:rPr>
          <w:rFonts w:ascii="Arial" w:hAnsi="Arial" w:cs="Arial"/>
          <w:sz w:val="20"/>
          <w:szCs w:val="20"/>
        </w:rPr>
      </w:pPr>
      <w:r w:rsidRPr="00C361C5">
        <w:rPr>
          <w:rFonts w:ascii="Arial" w:hAnsi="Arial" w:cs="Arial"/>
          <w:sz w:val="20"/>
          <w:szCs w:val="20"/>
        </w:rPr>
        <w:lastRenderedPageBreak/>
        <w:t>As auditors work with clients throughout the pandemic, there is a possibility that scope limitations will occur. For example, confirmations that are a key source of evidence may not be returned and alternative procedures may not be considered sufficient, or it may not be possible to evaluate the design and implementation of relevant controls at the client.</w:t>
      </w:r>
      <w:r w:rsidR="00B20AF0" w:rsidRPr="00C361C5">
        <w:rPr>
          <w:rFonts w:ascii="Arial" w:hAnsi="Arial" w:cs="Arial"/>
          <w:sz w:val="20"/>
          <w:szCs w:val="20"/>
        </w:rPr>
        <w:t xml:space="preserve"> </w:t>
      </w:r>
      <w:r w:rsidRPr="00C361C5">
        <w:rPr>
          <w:rFonts w:ascii="Arial" w:hAnsi="Arial" w:cs="Arial"/>
          <w:sz w:val="20"/>
          <w:szCs w:val="20"/>
        </w:rPr>
        <w:t>Scope limitations that are material but are not pervasive to the financial statements result in a qualified opinion, while scope limitations that are both material and pervasive result in a disclaimer of opinion</w:t>
      </w:r>
      <w:r w:rsidR="003E1FE3" w:rsidRPr="00C361C5">
        <w:rPr>
          <w:rFonts w:ascii="Arial" w:hAnsi="Arial" w:cs="Arial"/>
          <w:sz w:val="20"/>
          <w:szCs w:val="20"/>
        </w:rPr>
        <w:t xml:space="preserve"> (see AU-C section</w:t>
      </w:r>
      <w:r w:rsidR="004206AC" w:rsidRPr="00C361C5">
        <w:rPr>
          <w:rFonts w:ascii="Arial" w:hAnsi="Arial" w:cs="Arial"/>
          <w:sz w:val="20"/>
          <w:szCs w:val="20"/>
        </w:rPr>
        <w:t xml:space="preserve"> 705B, </w:t>
      </w:r>
      <w:r w:rsidR="004206AC" w:rsidRPr="00C361C5">
        <w:rPr>
          <w:rFonts w:ascii="Arial" w:hAnsi="Arial" w:cs="Arial"/>
          <w:i/>
          <w:iCs/>
          <w:sz w:val="20"/>
          <w:szCs w:val="20"/>
        </w:rPr>
        <w:t>Modifications to the Opinion in the Independent Auditor’s Report</w:t>
      </w:r>
      <w:r w:rsidR="004206AC" w:rsidRPr="00C361C5">
        <w:rPr>
          <w:rFonts w:ascii="Arial" w:hAnsi="Arial" w:cs="Arial"/>
          <w:sz w:val="20"/>
          <w:szCs w:val="20"/>
        </w:rPr>
        <w:t>)</w:t>
      </w:r>
      <w:r w:rsidRPr="00C361C5">
        <w:rPr>
          <w:rFonts w:ascii="Arial" w:hAnsi="Arial" w:cs="Arial"/>
          <w:sz w:val="20"/>
          <w:szCs w:val="20"/>
        </w:rPr>
        <w:t>.</w:t>
      </w:r>
    </w:p>
    <w:p w14:paraId="363F6D73" w14:textId="2BC204C1" w:rsidR="00472413" w:rsidRPr="00C361C5" w:rsidRDefault="001305C9" w:rsidP="00326ACF">
      <w:pPr>
        <w:pStyle w:val="ListParagraph"/>
        <w:numPr>
          <w:ilvl w:val="0"/>
          <w:numId w:val="20"/>
        </w:numPr>
        <w:rPr>
          <w:rFonts w:cs="Arial"/>
          <w:szCs w:val="20"/>
        </w:rPr>
      </w:pPr>
      <w:r w:rsidRPr="00C361C5">
        <w:rPr>
          <w:rFonts w:cs="Arial"/>
          <w:szCs w:val="20"/>
        </w:rPr>
        <w:t>The p</w:t>
      </w:r>
      <w:r w:rsidR="00472413" w:rsidRPr="00C361C5">
        <w:rPr>
          <w:rFonts w:cs="Arial"/>
          <w:szCs w:val="20"/>
        </w:rPr>
        <w:t>lan's ability to continue as a going concern, including the plan sponsor's ability to continue as a going concern and its ability to continue to fund the plan</w:t>
      </w:r>
      <w:r w:rsidR="00DD169A" w:rsidRPr="00C361C5">
        <w:rPr>
          <w:rFonts w:cs="Arial"/>
          <w:szCs w:val="20"/>
        </w:rPr>
        <w:t>.</w:t>
      </w:r>
    </w:p>
    <w:p w14:paraId="4EDFD7CB" w14:textId="1D9EFFB9" w:rsidR="00AD7552" w:rsidRPr="00C361C5" w:rsidRDefault="00472413" w:rsidP="00AD7552">
      <w:pPr>
        <w:shd w:val="clear" w:color="auto" w:fill="FFFFFF"/>
        <w:spacing w:before="100" w:beforeAutospacing="1" w:after="100" w:afterAutospacing="1"/>
        <w:ind w:left="1440"/>
        <w:rPr>
          <w:rFonts w:ascii="Arial" w:hAnsi="Arial" w:cs="Arial"/>
          <w:sz w:val="20"/>
          <w:szCs w:val="20"/>
        </w:rPr>
      </w:pPr>
      <w:r w:rsidRPr="00C361C5">
        <w:rPr>
          <w:rFonts w:ascii="Arial" w:hAnsi="Arial" w:cs="Arial"/>
          <w:sz w:val="20"/>
          <w:szCs w:val="20"/>
        </w:rPr>
        <w:t xml:space="preserve">AU-C section </w:t>
      </w:r>
      <w:r w:rsidR="0089782E" w:rsidRPr="00C361C5">
        <w:rPr>
          <w:rFonts w:ascii="Arial" w:hAnsi="Arial" w:cs="Arial"/>
          <w:sz w:val="20"/>
          <w:szCs w:val="20"/>
        </w:rPr>
        <w:t>570B</w:t>
      </w:r>
      <w:r w:rsidRPr="00C361C5">
        <w:rPr>
          <w:rFonts w:ascii="Arial" w:hAnsi="Arial" w:cs="Arial"/>
          <w:sz w:val="20"/>
          <w:szCs w:val="20"/>
        </w:rPr>
        <w:t xml:space="preserve">, </w:t>
      </w:r>
      <w:r w:rsidRPr="00C361C5">
        <w:rPr>
          <w:rFonts w:ascii="Arial" w:hAnsi="Arial" w:cs="Arial"/>
          <w:i/>
          <w:sz w:val="20"/>
          <w:szCs w:val="20"/>
        </w:rPr>
        <w:t>The Auditor’s Consideration of an Entity’s Ability to Continue as a Going Concern</w:t>
      </w:r>
      <w:r w:rsidRPr="00C361C5">
        <w:rPr>
          <w:rFonts w:ascii="Arial" w:hAnsi="Arial" w:cs="Arial"/>
          <w:sz w:val="20"/>
          <w:szCs w:val="20"/>
        </w:rPr>
        <w:t xml:space="preserve"> provides guidance to auditors with respect to evaluating whether there is substantial doubt about the plan's ability to continue as a going concern. </w:t>
      </w:r>
      <w:r w:rsidR="00AD7552" w:rsidRPr="00C361C5">
        <w:rPr>
          <w:rFonts w:ascii="Arial" w:hAnsi="Arial" w:cs="Arial"/>
          <w:sz w:val="20"/>
          <w:szCs w:val="20"/>
        </w:rPr>
        <w:t xml:space="preserve">Employee benefit plans also may be affected by the plan sponsor's financial adversities. Events or conditions that raise substantial doubt about </w:t>
      </w:r>
      <w:r w:rsidR="00F33D71" w:rsidRPr="00C361C5">
        <w:rPr>
          <w:rFonts w:ascii="Arial" w:hAnsi="Arial" w:cs="Arial"/>
          <w:sz w:val="20"/>
          <w:szCs w:val="20"/>
        </w:rPr>
        <w:t>a</w:t>
      </w:r>
      <w:r w:rsidR="00AD7552" w:rsidRPr="00C361C5">
        <w:rPr>
          <w:rFonts w:ascii="Arial" w:hAnsi="Arial" w:cs="Arial"/>
          <w:sz w:val="20"/>
          <w:szCs w:val="20"/>
        </w:rPr>
        <w:t xml:space="preserve"> defined benefit and</w:t>
      </w:r>
      <w:r w:rsidR="00F33D71" w:rsidRPr="00C361C5">
        <w:rPr>
          <w:rFonts w:ascii="Arial" w:hAnsi="Arial" w:cs="Arial"/>
          <w:sz w:val="20"/>
          <w:szCs w:val="20"/>
        </w:rPr>
        <w:t>/or</w:t>
      </w:r>
      <w:r w:rsidR="00AD7552" w:rsidRPr="00C361C5">
        <w:rPr>
          <w:rFonts w:ascii="Arial" w:hAnsi="Arial" w:cs="Arial"/>
          <w:sz w:val="20"/>
          <w:szCs w:val="20"/>
        </w:rPr>
        <w:t xml:space="preserve"> health and welfare plan’s ability to continue as a going concern include substantial doubt about the plan sponsor’s ability to continue as a going concern and its ability to continue funding those plans. </w:t>
      </w:r>
      <w:r w:rsidR="00AD7552" w:rsidRPr="00C361C5">
        <w:rPr>
          <w:rFonts w:ascii="Arial" w:eastAsia="Times New Roman" w:hAnsi="Arial" w:cs="Arial"/>
          <w:sz w:val="20"/>
          <w:szCs w:val="20"/>
        </w:rPr>
        <w:t>For defined contribution plans, the financial condition of the plan sponsor typically does not affect the plans’ ability to meet its obligations as they become due; however, consideration should be given to the level of company stock held by the plan, restrictions on withdrawals from certain investments held by the plan due to liquidity concerns, and plan terminations</w:t>
      </w:r>
      <w:r w:rsidR="00AD7552" w:rsidRPr="00C361C5">
        <w:rPr>
          <w:rFonts w:ascii="Arial" w:hAnsi="Arial" w:cs="Arial"/>
          <w:sz w:val="20"/>
          <w:szCs w:val="20"/>
        </w:rPr>
        <w:t>.</w:t>
      </w:r>
    </w:p>
    <w:p w14:paraId="1097DE82" w14:textId="306278E3" w:rsidR="00AF64DB" w:rsidRPr="00C361C5" w:rsidRDefault="00DC063E" w:rsidP="00A24EB6">
      <w:pPr>
        <w:pStyle w:val="ListParagraph"/>
        <w:numPr>
          <w:ilvl w:val="0"/>
          <w:numId w:val="20"/>
        </w:numPr>
        <w:rPr>
          <w:rFonts w:cs="Arial"/>
          <w:szCs w:val="20"/>
        </w:rPr>
      </w:pPr>
      <w:r w:rsidRPr="00C361C5">
        <w:rPr>
          <w:rFonts w:cs="Arial"/>
          <w:szCs w:val="20"/>
        </w:rPr>
        <w:t xml:space="preserve">Including an </w:t>
      </w:r>
      <w:r w:rsidR="00AF64DB" w:rsidRPr="00C361C5">
        <w:rPr>
          <w:rFonts w:cs="Arial"/>
          <w:szCs w:val="20"/>
        </w:rPr>
        <w:t xml:space="preserve">emphasis-of-matter paragraph in the </w:t>
      </w:r>
      <w:r w:rsidRPr="00C361C5">
        <w:rPr>
          <w:rFonts w:cs="Arial"/>
          <w:szCs w:val="20"/>
        </w:rPr>
        <w:t>a</w:t>
      </w:r>
      <w:r w:rsidR="00A02311" w:rsidRPr="00C361C5">
        <w:rPr>
          <w:rFonts w:cs="Arial"/>
          <w:szCs w:val="20"/>
        </w:rPr>
        <w:t>udit</w:t>
      </w:r>
      <w:r w:rsidR="006A5488" w:rsidRPr="00C361C5">
        <w:rPr>
          <w:rFonts w:cs="Arial"/>
          <w:szCs w:val="20"/>
        </w:rPr>
        <w:t>or’s</w:t>
      </w:r>
      <w:r w:rsidR="00A02311" w:rsidRPr="00C361C5">
        <w:rPr>
          <w:rFonts w:cs="Arial"/>
          <w:szCs w:val="20"/>
        </w:rPr>
        <w:t xml:space="preserve"> report</w:t>
      </w:r>
      <w:r w:rsidR="00511AA0" w:rsidRPr="00C361C5">
        <w:rPr>
          <w:rFonts w:cs="Arial"/>
          <w:szCs w:val="20"/>
        </w:rPr>
        <w:t>.</w:t>
      </w:r>
    </w:p>
    <w:p w14:paraId="42BE6E01" w14:textId="77777777" w:rsidR="00A02311" w:rsidRPr="00C361C5" w:rsidRDefault="00A02311">
      <w:pPr>
        <w:pStyle w:val="ListParagraph"/>
        <w:rPr>
          <w:rFonts w:cs="Arial"/>
          <w:szCs w:val="20"/>
        </w:rPr>
      </w:pPr>
    </w:p>
    <w:p w14:paraId="1E8EFE4C" w14:textId="1B94FE7F" w:rsidR="00A02311" w:rsidRPr="00C361C5" w:rsidRDefault="00861265" w:rsidP="00A02311">
      <w:pPr>
        <w:ind w:left="1440"/>
        <w:rPr>
          <w:rFonts w:ascii="Arial" w:hAnsi="Arial" w:cs="Arial"/>
          <w:sz w:val="20"/>
          <w:szCs w:val="20"/>
        </w:rPr>
      </w:pPr>
      <w:r w:rsidRPr="00C361C5">
        <w:rPr>
          <w:rFonts w:ascii="Arial" w:hAnsi="Arial" w:cs="Arial"/>
          <w:sz w:val="20"/>
          <w:szCs w:val="20"/>
        </w:rPr>
        <w:t>As paragraph .06 of AU</w:t>
      </w:r>
      <w:r w:rsidRPr="00C361C5">
        <w:rPr>
          <w:rFonts w:ascii="Cambria Math" w:hAnsi="Cambria Math" w:cs="Cambria Math"/>
          <w:sz w:val="20"/>
          <w:szCs w:val="20"/>
        </w:rPr>
        <w:t>‐</w:t>
      </w:r>
      <w:r w:rsidRPr="00C361C5">
        <w:rPr>
          <w:rFonts w:ascii="Arial" w:hAnsi="Arial" w:cs="Arial"/>
          <w:sz w:val="20"/>
          <w:szCs w:val="20"/>
        </w:rPr>
        <w:t xml:space="preserve">C section 706B, </w:t>
      </w:r>
      <w:r w:rsidRPr="00C361C5">
        <w:rPr>
          <w:rFonts w:ascii="Arial" w:hAnsi="Arial" w:cs="Arial"/>
          <w:i/>
          <w:sz w:val="20"/>
          <w:szCs w:val="20"/>
        </w:rPr>
        <w:t>Emphasis</w:t>
      </w:r>
      <w:r w:rsidRPr="00C361C5">
        <w:rPr>
          <w:rFonts w:ascii="Cambria Math" w:hAnsi="Cambria Math" w:cs="Cambria Math"/>
          <w:i/>
          <w:sz w:val="20"/>
          <w:szCs w:val="20"/>
        </w:rPr>
        <w:t>‐</w:t>
      </w:r>
      <w:r w:rsidRPr="00C361C5">
        <w:rPr>
          <w:rFonts w:ascii="Arial" w:hAnsi="Arial" w:cs="Arial"/>
          <w:i/>
          <w:sz w:val="20"/>
          <w:szCs w:val="20"/>
        </w:rPr>
        <w:t>of</w:t>
      </w:r>
      <w:r w:rsidRPr="00C361C5">
        <w:rPr>
          <w:rFonts w:ascii="Cambria Math" w:hAnsi="Cambria Math" w:cs="Cambria Math"/>
          <w:i/>
          <w:sz w:val="20"/>
          <w:szCs w:val="20"/>
        </w:rPr>
        <w:t>‐</w:t>
      </w:r>
      <w:r w:rsidRPr="00C361C5">
        <w:rPr>
          <w:rFonts w:ascii="Arial" w:hAnsi="Arial" w:cs="Arial"/>
          <w:i/>
          <w:sz w:val="20"/>
          <w:szCs w:val="20"/>
        </w:rPr>
        <w:t>Matter Paragraphs and Other</w:t>
      </w:r>
      <w:r w:rsidRPr="00C361C5">
        <w:rPr>
          <w:rFonts w:ascii="Cambria Math" w:hAnsi="Cambria Math" w:cs="Cambria Math"/>
          <w:i/>
          <w:sz w:val="20"/>
          <w:szCs w:val="20"/>
        </w:rPr>
        <w:t>‐</w:t>
      </w:r>
      <w:r w:rsidRPr="00C361C5">
        <w:rPr>
          <w:rFonts w:ascii="Arial" w:hAnsi="Arial" w:cs="Arial"/>
          <w:i/>
          <w:sz w:val="20"/>
          <w:szCs w:val="20"/>
        </w:rPr>
        <w:t>Matter Paragraphs in the Independent Auditor’s Report</w:t>
      </w:r>
      <w:r w:rsidRPr="00C361C5">
        <w:rPr>
          <w:rFonts w:ascii="Arial" w:hAnsi="Arial" w:cs="Arial"/>
          <w:sz w:val="20"/>
          <w:szCs w:val="20"/>
        </w:rPr>
        <w:t>, notes, EOM paragraphs are included in the auditor’s report if the auditor considers it necessary to draw users’ attention to a matter appropriately presented or disclosed in the financial statements that, in the auditor’s professional judgment, is of such importance that it is fundamental to users’</w:t>
      </w:r>
      <w:r w:rsidR="00745ECD" w:rsidRPr="00C361C5">
        <w:rPr>
          <w:rFonts w:ascii="Arial" w:hAnsi="Arial" w:cs="Arial"/>
          <w:sz w:val="20"/>
          <w:szCs w:val="20"/>
        </w:rPr>
        <w:t xml:space="preserve"> </w:t>
      </w:r>
      <w:r w:rsidRPr="00C361C5">
        <w:rPr>
          <w:rFonts w:ascii="Arial" w:hAnsi="Arial" w:cs="Arial"/>
          <w:sz w:val="20"/>
          <w:szCs w:val="20"/>
        </w:rPr>
        <w:t>understanding of the financial statements. E</w:t>
      </w:r>
      <w:r w:rsidR="001A20D1" w:rsidRPr="00C361C5">
        <w:rPr>
          <w:rFonts w:ascii="Arial" w:hAnsi="Arial" w:cs="Arial"/>
          <w:sz w:val="20"/>
          <w:szCs w:val="20"/>
        </w:rPr>
        <w:t xml:space="preserve">xamples where an EOM paragraph might be </w:t>
      </w:r>
      <w:r w:rsidR="00A34FDC" w:rsidRPr="00C361C5">
        <w:rPr>
          <w:rFonts w:ascii="Arial" w:hAnsi="Arial" w:cs="Arial"/>
          <w:sz w:val="20"/>
          <w:szCs w:val="20"/>
        </w:rPr>
        <w:t xml:space="preserve">appropriate </w:t>
      </w:r>
      <w:r w:rsidR="007733EF" w:rsidRPr="00C361C5">
        <w:rPr>
          <w:rFonts w:ascii="Arial" w:hAnsi="Arial" w:cs="Arial"/>
          <w:sz w:val="20"/>
          <w:szCs w:val="20"/>
        </w:rPr>
        <w:t xml:space="preserve">to </w:t>
      </w:r>
      <w:r w:rsidR="001A20D1" w:rsidRPr="00C361C5">
        <w:rPr>
          <w:rFonts w:ascii="Arial" w:hAnsi="Arial" w:cs="Arial"/>
          <w:sz w:val="20"/>
          <w:szCs w:val="20"/>
        </w:rPr>
        <w:t xml:space="preserve">include </w:t>
      </w:r>
      <w:r w:rsidR="00BD3BF8" w:rsidRPr="00C361C5">
        <w:rPr>
          <w:rFonts w:ascii="Arial" w:hAnsi="Arial" w:cs="Arial"/>
          <w:sz w:val="20"/>
          <w:szCs w:val="20"/>
        </w:rPr>
        <w:t xml:space="preserve">in the auditor’s report </w:t>
      </w:r>
      <w:r w:rsidR="007733EF" w:rsidRPr="00C361C5">
        <w:rPr>
          <w:rFonts w:ascii="Arial" w:hAnsi="Arial" w:cs="Arial"/>
          <w:sz w:val="20"/>
          <w:szCs w:val="20"/>
        </w:rPr>
        <w:t xml:space="preserve">are </w:t>
      </w:r>
      <w:r w:rsidR="00B20D97" w:rsidRPr="00C361C5">
        <w:rPr>
          <w:rFonts w:ascii="Arial" w:hAnsi="Arial" w:cs="Arial"/>
          <w:sz w:val="20"/>
          <w:szCs w:val="20"/>
        </w:rPr>
        <w:t xml:space="preserve">the </w:t>
      </w:r>
      <w:r w:rsidR="007C43E5" w:rsidRPr="00C361C5">
        <w:rPr>
          <w:rFonts w:ascii="Arial" w:hAnsi="Arial" w:cs="Arial"/>
          <w:sz w:val="20"/>
          <w:szCs w:val="20"/>
        </w:rPr>
        <w:t>plan sponsor declaring bankruptcy o</w:t>
      </w:r>
      <w:r w:rsidR="00B20D97" w:rsidRPr="00C361C5">
        <w:rPr>
          <w:rFonts w:ascii="Arial" w:hAnsi="Arial" w:cs="Arial"/>
          <w:sz w:val="20"/>
          <w:szCs w:val="20"/>
        </w:rPr>
        <w:t xml:space="preserve">r </w:t>
      </w:r>
      <w:r w:rsidR="003500DF" w:rsidRPr="00C361C5">
        <w:rPr>
          <w:rFonts w:ascii="Arial" w:hAnsi="Arial" w:cs="Arial"/>
          <w:sz w:val="20"/>
          <w:szCs w:val="20"/>
        </w:rPr>
        <w:t xml:space="preserve">substantial doubt </w:t>
      </w:r>
      <w:r w:rsidR="006639A2" w:rsidRPr="00C361C5">
        <w:rPr>
          <w:rFonts w:ascii="Arial" w:hAnsi="Arial" w:cs="Arial"/>
          <w:sz w:val="20"/>
          <w:szCs w:val="20"/>
        </w:rPr>
        <w:t xml:space="preserve">about the </w:t>
      </w:r>
      <w:r w:rsidR="003500DF" w:rsidRPr="00C361C5">
        <w:rPr>
          <w:rFonts w:ascii="Arial" w:hAnsi="Arial" w:cs="Arial"/>
          <w:sz w:val="20"/>
          <w:szCs w:val="20"/>
        </w:rPr>
        <w:t>ability</w:t>
      </w:r>
      <w:r w:rsidR="006639A2" w:rsidRPr="00C361C5">
        <w:rPr>
          <w:rFonts w:ascii="Arial" w:hAnsi="Arial" w:cs="Arial"/>
          <w:sz w:val="20"/>
          <w:szCs w:val="20"/>
        </w:rPr>
        <w:t xml:space="preserve"> of</w:t>
      </w:r>
      <w:r w:rsidR="003500DF" w:rsidRPr="00C361C5">
        <w:rPr>
          <w:rFonts w:ascii="Arial" w:hAnsi="Arial" w:cs="Arial"/>
          <w:sz w:val="20"/>
          <w:szCs w:val="20"/>
        </w:rPr>
        <w:t xml:space="preserve"> the plan sponsor </w:t>
      </w:r>
      <w:r w:rsidR="006639A2" w:rsidRPr="00C361C5">
        <w:rPr>
          <w:rFonts w:ascii="Arial" w:hAnsi="Arial" w:cs="Arial"/>
          <w:sz w:val="20"/>
          <w:szCs w:val="20"/>
        </w:rPr>
        <w:t xml:space="preserve">to continue </w:t>
      </w:r>
      <w:r w:rsidR="003500DF" w:rsidRPr="00C361C5">
        <w:rPr>
          <w:rFonts w:ascii="Arial" w:hAnsi="Arial" w:cs="Arial"/>
          <w:sz w:val="20"/>
          <w:szCs w:val="20"/>
        </w:rPr>
        <w:t xml:space="preserve">as a </w:t>
      </w:r>
      <w:r w:rsidR="001A20D1" w:rsidRPr="00C361C5">
        <w:rPr>
          <w:rFonts w:ascii="Arial" w:hAnsi="Arial" w:cs="Arial"/>
          <w:sz w:val="20"/>
          <w:szCs w:val="20"/>
        </w:rPr>
        <w:t xml:space="preserve">going concern, </w:t>
      </w:r>
      <w:r w:rsidR="00356C2F" w:rsidRPr="00C361C5">
        <w:rPr>
          <w:rFonts w:ascii="Arial" w:hAnsi="Arial" w:cs="Arial"/>
          <w:sz w:val="20"/>
          <w:szCs w:val="20"/>
        </w:rPr>
        <w:t>subsequent event</w:t>
      </w:r>
      <w:r w:rsidR="00BD3BF8" w:rsidRPr="00C361C5">
        <w:rPr>
          <w:rFonts w:ascii="Arial" w:hAnsi="Arial" w:cs="Arial"/>
          <w:sz w:val="20"/>
          <w:szCs w:val="20"/>
        </w:rPr>
        <w:t>(</w:t>
      </w:r>
      <w:r w:rsidR="00356C2F" w:rsidRPr="00C361C5">
        <w:rPr>
          <w:rFonts w:ascii="Arial" w:hAnsi="Arial" w:cs="Arial"/>
          <w:sz w:val="20"/>
          <w:szCs w:val="20"/>
        </w:rPr>
        <w:t>s</w:t>
      </w:r>
      <w:r w:rsidR="00BD3BF8" w:rsidRPr="00C361C5">
        <w:rPr>
          <w:rFonts w:ascii="Arial" w:hAnsi="Arial" w:cs="Arial"/>
          <w:sz w:val="20"/>
          <w:szCs w:val="20"/>
        </w:rPr>
        <w:t>)</w:t>
      </w:r>
      <w:r w:rsidR="00356C2F" w:rsidRPr="00C361C5">
        <w:rPr>
          <w:rFonts w:ascii="Arial" w:hAnsi="Arial" w:cs="Arial"/>
          <w:sz w:val="20"/>
          <w:szCs w:val="20"/>
        </w:rPr>
        <w:t xml:space="preserve">, </w:t>
      </w:r>
      <w:r w:rsidR="0067052F" w:rsidRPr="00C361C5">
        <w:rPr>
          <w:rFonts w:ascii="Arial" w:hAnsi="Arial" w:cs="Arial"/>
          <w:sz w:val="20"/>
          <w:szCs w:val="20"/>
        </w:rPr>
        <w:t xml:space="preserve">approval of </w:t>
      </w:r>
      <w:r w:rsidR="00356C2F" w:rsidRPr="00C361C5">
        <w:rPr>
          <w:rFonts w:ascii="Arial" w:hAnsi="Arial" w:cs="Arial"/>
          <w:sz w:val="20"/>
          <w:szCs w:val="20"/>
        </w:rPr>
        <w:t>a plan liquidation</w:t>
      </w:r>
      <w:r w:rsidR="006639A2" w:rsidRPr="00C361C5">
        <w:rPr>
          <w:rFonts w:ascii="Arial" w:hAnsi="Arial" w:cs="Arial"/>
          <w:sz w:val="20"/>
          <w:szCs w:val="20"/>
        </w:rPr>
        <w:t xml:space="preserve"> or termination</w:t>
      </w:r>
      <w:r w:rsidR="00356C2F" w:rsidRPr="00C361C5">
        <w:rPr>
          <w:rFonts w:ascii="Arial" w:hAnsi="Arial" w:cs="Arial"/>
          <w:sz w:val="20"/>
          <w:szCs w:val="20"/>
        </w:rPr>
        <w:t xml:space="preserve">, plan merger, and/or </w:t>
      </w:r>
      <w:r w:rsidR="0052006B" w:rsidRPr="00C361C5">
        <w:rPr>
          <w:rFonts w:ascii="Arial" w:hAnsi="Arial" w:cs="Arial"/>
          <w:sz w:val="20"/>
          <w:szCs w:val="20"/>
        </w:rPr>
        <w:t xml:space="preserve">a change in the </w:t>
      </w:r>
      <w:r w:rsidR="004270AB" w:rsidRPr="00C361C5">
        <w:rPr>
          <w:rFonts w:ascii="Arial" w:hAnsi="Arial" w:cs="Arial"/>
          <w:sz w:val="20"/>
          <w:szCs w:val="20"/>
        </w:rPr>
        <w:t xml:space="preserve">basis </w:t>
      </w:r>
      <w:r w:rsidR="0052006B" w:rsidRPr="00C361C5">
        <w:rPr>
          <w:rFonts w:ascii="Arial" w:hAnsi="Arial" w:cs="Arial"/>
          <w:sz w:val="20"/>
          <w:szCs w:val="20"/>
        </w:rPr>
        <w:t>of accounting.</w:t>
      </w:r>
    </w:p>
    <w:p w14:paraId="421F8A22" w14:textId="77777777" w:rsidR="00B248A1" w:rsidRPr="00C361C5" w:rsidRDefault="00B248A1" w:rsidP="00B248A1">
      <w:pPr>
        <w:pStyle w:val="TableParagraph"/>
        <w:spacing w:line="218" w:lineRule="exact"/>
        <w:ind w:left="360"/>
        <w:rPr>
          <w:bCs/>
          <w:sz w:val="20"/>
          <w:szCs w:val="20"/>
        </w:rPr>
      </w:pPr>
    </w:p>
    <w:p w14:paraId="60EA9302" w14:textId="77777777" w:rsidR="006D1419" w:rsidRPr="00C361C5" w:rsidRDefault="006D1419" w:rsidP="00376B06">
      <w:pPr>
        <w:pStyle w:val="TableParagraph"/>
        <w:spacing w:line="218" w:lineRule="exact"/>
        <w:ind w:left="360"/>
        <w:rPr>
          <w:bCs/>
          <w:sz w:val="20"/>
          <w:szCs w:val="20"/>
        </w:rPr>
      </w:pPr>
    </w:p>
    <w:tbl>
      <w:tblPr>
        <w:tblStyle w:val="TableGrid"/>
        <w:tblW w:w="10080" w:type="dxa"/>
        <w:jc w:val="center"/>
        <w:tblLook w:val="04A0" w:firstRow="1" w:lastRow="0" w:firstColumn="1" w:lastColumn="0" w:noHBand="0" w:noVBand="1"/>
      </w:tblPr>
      <w:tblGrid>
        <w:gridCol w:w="10080"/>
      </w:tblGrid>
      <w:tr w:rsidR="00C361C5" w:rsidRPr="00C361C5" w14:paraId="1823664B" w14:textId="77777777" w:rsidTr="00931AB8">
        <w:trPr>
          <w:trHeight w:val="576"/>
          <w:jc w:val="center"/>
        </w:trPr>
        <w:tc>
          <w:tcPr>
            <w:tcW w:w="10080" w:type="dxa"/>
          </w:tcPr>
          <w:p w14:paraId="2216A4CC" w14:textId="644CAA0A" w:rsidR="006D1419" w:rsidRPr="00C361C5" w:rsidRDefault="006D1419" w:rsidP="00931AB8">
            <w:pPr>
              <w:pStyle w:val="TableParagraph"/>
              <w:spacing w:before="120" w:after="120" w:line="218" w:lineRule="exact"/>
              <w:rPr>
                <w:i/>
                <w:sz w:val="20"/>
                <w:szCs w:val="20"/>
              </w:rPr>
            </w:pPr>
            <w:r w:rsidRPr="00C361C5">
              <w:rPr>
                <w:i/>
                <w:sz w:val="20"/>
                <w:szCs w:val="20"/>
              </w:rPr>
              <w:t>Notes or comments:</w:t>
            </w:r>
          </w:p>
          <w:p w14:paraId="06E90049" w14:textId="77777777" w:rsidR="006D1419" w:rsidRPr="00C361C5" w:rsidRDefault="006D1419" w:rsidP="00931AB8">
            <w:pPr>
              <w:pStyle w:val="TableParagraph"/>
              <w:spacing w:before="120" w:after="120" w:line="218" w:lineRule="exact"/>
              <w:rPr>
                <w:i/>
                <w:sz w:val="20"/>
                <w:szCs w:val="20"/>
                <w:u w:val="single"/>
              </w:rPr>
            </w:pPr>
          </w:p>
          <w:p w14:paraId="3D80FAD4" w14:textId="6B53BF91" w:rsidR="00430D7C" w:rsidRPr="00C361C5" w:rsidRDefault="00430D7C" w:rsidP="00931AB8">
            <w:pPr>
              <w:pStyle w:val="TableParagraph"/>
              <w:spacing w:before="120" w:after="120" w:line="218" w:lineRule="exact"/>
              <w:rPr>
                <w:i/>
                <w:sz w:val="20"/>
                <w:szCs w:val="20"/>
                <w:u w:val="single"/>
              </w:rPr>
            </w:pPr>
          </w:p>
        </w:tc>
      </w:tr>
    </w:tbl>
    <w:p w14:paraId="43B9C4F9" w14:textId="77777777" w:rsidR="00183AB3" w:rsidRPr="00376B06" w:rsidRDefault="00183AB3" w:rsidP="000F268D">
      <w:pPr>
        <w:rPr>
          <w:rFonts w:ascii="Arial" w:hAnsi="Arial" w:cs="Arial"/>
          <w:sz w:val="20"/>
          <w:szCs w:val="20"/>
        </w:rPr>
      </w:pPr>
    </w:p>
    <w:p w14:paraId="496AD90C" w14:textId="25297D54" w:rsidR="009D6371" w:rsidRPr="00291D56" w:rsidRDefault="000C5335" w:rsidP="000F268D">
      <w:pPr>
        <w:rPr>
          <w:rFonts w:ascii="Roboto Thin" w:hAnsi="Roboto Thin" w:cs="Arial"/>
          <w:color w:val="365F91"/>
          <w:sz w:val="40"/>
          <w:szCs w:val="40"/>
          <w:lang w:bidi="en-US"/>
        </w:rPr>
      </w:pPr>
      <w:r w:rsidRPr="00291D56">
        <w:rPr>
          <w:rFonts w:ascii="Roboto Thin" w:hAnsi="Roboto Thin" w:cs="Arial"/>
          <w:color w:val="365F91"/>
          <w:sz w:val="40"/>
          <w:szCs w:val="40"/>
          <w:lang w:bidi="en-US"/>
        </w:rPr>
        <w:t xml:space="preserve">Financial statement </w:t>
      </w:r>
      <w:r w:rsidR="002223D6" w:rsidRPr="00291D56">
        <w:rPr>
          <w:rFonts w:ascii="Roboto Thin" w:hAnsi="Roboto Thin" w:cs="Arial"/>
          <w:color w:val="365F91"/>
          <w:sz w:val="40"/>
          <w:szCs w:val="40"/>
          <w:lang w:bidi="en-US"/>
        </w:rPr>
        <w:t>d</w:t>
      </w:r>
      <w:r w:rsidR="009D6371" w:rsidRPr="00291D56">
        <w:rPr>
          <w:rFonts w:ascii="Roboto Thin" w:hAnsi="Roboto Thin" w:cs="Arial"/>
          <w:color w:val="365F91"/>
          <w:sz w:val="40"/>
          <w:szCs w:val="40"/>
          <w:lang w:bidi="en-US"/>
        </w:rPr>
        <w:t>isclosures</w:t>
      </w:r>
    </w:p>
    <w:p w14:paraId="424C722C" w14:textId="77777777" w:rsidR="000F268D" w:rsidRPr="002D51B6" w:rsidRDefault="000F268D" w:rsidP="009D6371">
      <w:pPr>
        <w:rPr>
          <w:rFonts w:ascii="Arial" w:hAnsi="Arial" w:cs="Arial"/>
          <w:sz w:val="20"/>
          <w:szCs w:val="20"/>
        </w:rPr>
      </w:pPr>
    </w:p>
    <w:p w14:paraId="6ABC4D26" w14:textId="50DD5EA6" w:rsidR="00A45CC7" w:rsidRPr="00C361C5" w:rsidRDefault="0023015C">
      <w:pPr>
        <w:rPr>
          <w:rFonts w:ascii="Arial" w:hAnsi="Arial" w:cs="Arial"/>
          <w:sz w:val="20"/>
          <w:szCs w:val="20"/>
        </w:rPr>
      </w:pPr>
      <w:r w:rsidRPr="00C361C5">
        <w:rPr>
          <w:rFonts w:ascii="Arial" w:hAnsi="Arial" w:cs="Arial"/>
          <w:sz w:val="20"/>
          <w:szCs w:val="20"/>
        </w:rPr>
        <w:t>A</w:t>
      </w:r>
      <w:r w:rsidR="00CE5E7A" w:rsidRPr="00C361C5">
        <w:rPr>
          <w:rFonts w:ascii="Arial" w:hAnsi="Arial" w:cs="Arial"/>
          <w:sz w:val="20"/>
          <w:szCs w:val="20"/>
        </w:rPr>
        <w:t xml:space="preserve">uditors will need to </w:t>
      </w:r>
      <w:r w:rsidR="00642B3F" w:rsidRPr="00C361C5">
        <w:rPr>
          <w:rFonts w:ascii="Arial" w:hAnsi="Arial" w:cs="Arial"/>
          <w:sz w:val="20"/>
          <w:szCs w:val="20"/>
        </w:rPr>
        <w:t xml:space="preserve">evaluate </w:t>
      </w:r>
      <w:r w:rsidR="00CE5E7A" w:rsidRPr="00C361C5">
        <w:rPr>
          <w:rFonts w:ascii="Arial" w:hAnsi="Arial" w:cs="Arial"/>
          <w:sz w:val="20"/>
          <w:szCs w:val="20"/>
        </w:rPr>
        <w:t xml:space="preserve">whether </w:t>
      </w:r>
      <w:r w:rsidRPr="00C361C5">
        <w:rPr>
          <w:rFonts w:ascii="Arial" w:hAnsi="Arial" w:cs="Arial"/>
          <w:sz w:val="20"/>
          <w:szCs w:val="20"/>
        </w:rPr>
        <w:t xml:space="preserve">plan </w:t>
      </w:r>
      <w:r w:rsidR="00642B3F" w:rsidRPr="00C361C5">
        <w:rPr>
          <w:rFonts w:ascii="Arial" w:hAnsi="Arial" w:cs="Arial"/>
          <w:sz w:val="20"/>
          <w:szCs w:val="20"/>
        </w:rPr>
        <w:t xml:space="preserve">management has made </w:t>
      </w:r>
      <w:r w:rsidRPr="00C361C5">
        <w:rPr>
          <w:rFonts w:ascii="Arial" w:hAnsi="Arial" w:cs="Arial"/>
          <w:sz w:val="20"/>
          <w:szCs w:val="20"/>
        </w:rPr>
        <w:t>adequate</w:t>
      </w:r>
      <w:r w:rsidR="00642B3F" w:rsidRPr="00C361C5">
        <w:rPr>
          <w:rFonts w:ascii="Arial" w:hAnsi="Arial" w:cs="Arial"/>
          <w:sz w:val="20"/>
          <w:szCs w:val="20"/>
        </w:rPr>
        <w:t xml:space="preserve"> </w:t>
      </w:r>
      <w:r w:rsidR="00CE5E7A" w:rsidRPr="00C361C5">
        <w:rPr>
          <w:rFonts w:ascii="Arial" w:hAnsi="Arial" w:cs="Arial"/>
          <w:sz w:val="20"/>
          <w:szCs w:val="20"/>
        </w:rPr>
        <w:t xml:space="preserve">disclosures related to the COVID-19 pandemic, </w:t>
      </w:r>
      <w:r w:rsidRPr="00C361C5">
        <w:rPr>
          <w:rFonts w:ascii="Arial" w:hAnsi="Arial" w:cs="Arial"/>
          <w:sz w:val="20"/>
          <w:szCs w:val="20"/>
        </w:rPr>
        <w:t xml:space="preserve">SECURE Act, </w:t>
      </w:r>
      <w:r w:rsidR="00CE5E7A" w:rsidRPr="00C361C5">
        <w:rPr>
          <w:rFonts w:ascii="Arial" w:hAnsi="Arial" w:cs="Arial"/>
          <w:sz w:val="20"/>
          <w:szCs w:val="20"/>
        </w:rPr>
        <w:t xml:space="preserve">CARES Act and other matters </w:t>
      </w:r>
      <w:r w:rsidR="00314F6C" w:rsidRPr="00C361C5">
        <w:rPr>
          <w:rFonts w:ascii="Arial" w:hAnsi="Arial" w:cs="Arial"/>
          <w:sz w:val="20"/>
          <w:szCs w:val="20"/>
        </w:rPr>
        <w:t xml:space="preserve">in the </w:t>
      </w:r>
      <w:r w:rsidR="00CE5E7A" w:rsidRPr="00C361C5">
        <w:rPr>
          <w:rFonts w:ascii="Arial" w:hAnsi="Arial" w:cs="Arial"/>
          <w:sz w:val="20"/>
          <w:szCs w:val="20"/>
        </w:rPr>
        <w:t xml:space="preserve">plan's financial statements. Potential disclosures </w:t>
      </w:r>
      <w:r w:rsidR="00314F6C" w:rsidRPr="00C361C5">
        <w:rPr>
          <w:rFonts w:ascii="Arial" w:hAnsi="Arial" w:cs="Arial"/>
          <w:sz w:val="20"/>
          <w:szCs w:val="20"/>
        </w:rPr>
        <w:t xml:space="preserve">may </w:t>
      </w:r>
      <w:r w:rsidR="00CE5E7A" w:rsidRPr="00C361C5">
        <w:rPr>
          <w:rFonts w:ascii="Arial" w:hAnsi="Arial" w:cs="Arial"/>
          <w:sz w:val="20"/>
          <w:szCs w:val="20"/>
        </w:rPr>
        <w:t xml:space="preserve">include </w:t>
      </w:r>
      <w:r w:rsidR="001305C9" w:rsidRPr="00C361C5">
        <w:rPr>
          <w:rFonts w:ascii="Arial" w:hAnsi="Arial" w:cs="Arial"/>
          <w:sz w:val="20"/>
          <w:szCs w:val="20"/>
        </w:rPr>
        <w:t xml:space="preserve">risks and uncertainties in accordance with Financial Accounting Standards Board (FASB) </w:t>
      </w:r>
      <w:r w:rsidR="00513797" w:rsidRPr="00C361C5">
        <w:rPr>
          <w:rFonts w:ascii="Arial" w:hAnsi="Arial" w:cs="Arial"/>
          <w:sz w:val="20"/>
          <w:szCs w:val="20"/>
        </w:rPr>
        <w:t>Codification</w:t>
      </w:r>
      <w:r w:rsidR="00513797" w:rsidRPr="00C361C5">
        <w:rPr>
          <w:rFonts w:ascii="Arial" w:hAnsi="Arial" w:cs="Arial"/>
          <w:i/>
          <w:sz w:val="20"/>
          <w:szCs w:val="20"/>
        </w:rPr>
        <w:t xml:space="preserve">® </w:t>
      </w:r>
      <w:r w:rsidR="001305C9" w:rsidRPr="00C361C5">
        <w:rPr>
          <w:rFonts w:ascii="Arial" w:hAnsi="Arial" w:cs="Arial"/>
          <w:sz w:val="20"/>
          <w:szCs w:val="20"/>
        </w:rPr>
        <w:t xml:space="preserve">ASC 275, </w:t>
      </w:r>
      <w:r w:rsidR="001305C9" w:rsidRPr="00C361C5">
        <w:rPr>
          <w:rFonts w:ascii="Arial" w:hAnsi="Arial" w:cs="Arial"/>
          <w:i/>
          <w:sz w:val="20"/>
          <w:szCs w:val="20"/>
        </w:rPr>
        <w:t>Risks and Uncertainties</w:t>
      </w:r>
      <w:r w:rsidR="001305C9" w:rsidRPr="00C361C5">
        <w:rPr>
          <w:rFonts w:ascii="Arial" w:hAnsi="Arial" w:cs="Arial"/>
          <w:sz w:val="20"/>
          <w:szCs w:val="20"/>
        </w:rPr>
        <w:t xml:space="preserve">; </w:t>
      </w:r>
      <w:r w:rsidR="00CE5E7A" w:rsidRPr="00C361C5">
        <w:rPr>
          <w:rFonts w:ascii="Arial" w:hAnsi="Arial" w:cs="Arial"/>
          <w:sz w:val="20"/>
          <w:szCs w:val="20"/>
        </w:rPr>
        <w:t>subsequent event</w:t>
      </w:r>
      <w:r w:rsidR="00314F6C" w:rsidRPr="00C361C5">
        <w:rPr>
          <w:rFonts w:ascii="Arial" w:hAnsi="Arial" w:cs="Arial"/>
          <w:sz w:val="20"/>
          <w:szCs w:val="20"/>
        </w:rPr>
        <w:t>s</w:t>
      </w:r>
      <w:r w:rsidR="00CE5E7A" w:rsidRPr="00C361C5">
        <w:rPr>
          <w:rFonts w:ascii="Arial" w:hAnsi="Arial" w:cs="Arial"/>
          <w:sz w:val="20"/>
          <w:szCs w:val="20"/>
        </w:rPr>
        <w:t xml:space="preserve"> in accordance with </w:t>
      </w:r>
      <w:r w:rsidR="001305C9" w:rsidRPr="00C361C5">
        <w:rPr>
          <w:rFonts w:ascii="Arial" w:hAnsi="Arial" w:cs="Arial"/>
          <w:sz w:val="20"/>
          <w:szCs w:val="20"/>
        </w:rPr>
        <w:t>FASB</w:t>
      </w:r>
      <w:r w:rsidR="001305C9" w:rsidRPr="00C361C5" w:rsidDel="001305C9">
        <w:rPr>
          <w:rFonts w:ascii="Arial" w:hAnsi="Arial" w:cs="Arial"/>
          <w:sz w:val="20"/>
          <w:szCs w:val="20"/>
        </w:rPr>
        <w:t xml:space="preserve"> </w:t>
      </w:r>
      <w:r w:rsidR="00CE5E7A" w:rsidRPr="00C361C5">
        <w:rPr>
          <w:rFonts w:ascii="Arial" w:hAnsi="Arial" w:cs="Arial"/>
          <w:sz w:val="20"/>
          <w:szCs w:val="20"/>
        </w:rPr>
        <w:t>ASC 855</w:t>
      </w:r>
      <w:r w:rsidR="00D40636" w:rsidRPr="00C361C5">
        <w:rPr>
          <w:rFonts w:ascii="Arial" w:hAnsi="Arial" w:cs="Arial"/>
          <w:sz w:val="20"/>
          <w:szCs w:val="20"/>
        </w:rPr>
        <w:t xml:space="preserve">, </w:t>
      </w:r>
      <w:r w:rsidR="00D40636" w:rsidRPr="00C361C5">
        <w:rPr>
          <w:rFonts w:ascii="Arial" w:hAnsi="Arial" w:cs="Arial"/>
          <w:i/>
          <w:sz w:val="20"/>
          <w:szCs w:val="20"/>
          <w:shd w:val="clear" w:color="auto" w:fill="FFFFFF"/>
        </w:rPr>
        <w:t>Subsequent Events</w:t>
      </w:r>
      <w:r w:rsidR="00CE5E7A" w:rsidRPr="00C361C5">
        <w:rPr>
          <w:rFonts w:ascii="Arial" w:hAnsi="Arial" w:cs="Arial"/>
          <w:sz w:val="20"/>
          <w:szCs w:val="20"/>
        </w:rPr>
        <w:t xml:space="preserve">; and/or going concern </w:t>
      </w:r>
      <w:r w:rsidR="000F3D93" w:rsidRPr="00C361C5">
        <w:rPr>
          <w:rFonts w:ascii="Arial" w:hAnsi="Arial" w:cs="Arial"/>
          <w:sz w:val="20"/>
          <w:szCs w:val="20"/>
        </w:rPr>
        <w:t xml:space="preserve">issues </w:t>
      </w:r>
      <w:r w:rsidR="00CE5E7A" w:rsidRPr="00C361C5">
        <w:rPr>
          <w:rFonts w:ascii="Arial" w:hAnsi="Arial" w:cs="Arial"/>
          <w:sz w:val="20"/>
          <w:szCs w:val="20"/>
        </w:rPr>
        <w:t>in accordance with FASB ASC 205-40</w:t>
      </w:r>
      <w:r w:rsidR="0057196C" w:rsidRPr="00C361C5">
        <w:rPr>
          <w:rFonts w:ascii="Arial" w:hAnsi="Arial" w:cs="Arial"/>
          <w:sz w:val="20"/>
          <w:szCs w:val="20"/>
        </w:rPr>
        <w:t>,</w:t>
      </w:r>
      <w:r w:rsidR="0057196C" w:rsidRPr="00C361C5">
        <w:rPr>
          <w:rFonts w:ascii="Arial" w:hAnsi="Arial" w:cs="Arial"/>
          <w:sz w:val="20"/>
          <w:szCs w:val="20"/>
          <w:shd w:val="clear" w:color="auto" w:fill="FFFFFF"/>
        </w:rPr>
        <w:t xml:space="preserve"> </w:t>
      </w:r>
      <w:r w:rsidR="0057196C" w:rsidRPr="00C361C5">
        <w:rPr>
          <w:rFonts w:ascii="Arial" w:hAnsi="Arial" w:cs="Arial"/>
          <w:i/>
          <w:sz w:val="20"/>
          <w:szCs w:val="20"/>
        </w:rPr>
        <w:t>Presentation of Financial Statements—Going Concern</w:t>
      </w:r>
      <w:r w:rsidR="0057196C" w:rsidRPr="00C361C5">
        <w:rPr>
          <w:rFonts w:ascii="Arial" w:hAnsi="Arial" w:cs="Arial"/>
          <w:sz w:val="20"/>
          <w:szCs w:val="20"/>
        </w:rPr>
        <w:t>.</w:t>
      </w:r>
      <w:r w:rsidR="00E23365" w:rsidRPr="00C361C5">
        <w:rPr>
          <w:rFonts w:ascii="Arial" w:hAnsi="Arial" w:cs="Arial"/>
          <w:sz w:val="20"/>
          <w:szCs w:val="20"/>
        </w:rPr>
        <w:t xml:space="preserve"> </w:t>
      </w:r>
      <w:r w:rsidR="002F1780" w:rsidRPr="00C361C5">
        <w:rPr>
          <w:rFonts w:ascii="Arial" w:hAnsi="Arial" w:cs="Arial"/>
          <w:sz w:val="20"/>
          <w:szCs w:val="20"/>
        </w:rPr>
        <w:t>F</w:t>
      </w:r>
      <w:r w:rsidR="00A45CC7" w:rsidRPr="00C361C5">
        <w:rPr>
          <w:rFonts w:ascii="Arial" w:hAnsi="Arial" w:cs="Arial"/>
          <w:sz w:val="20"/>
          <w:szCs w:val="20"/>
        </w:rPr>
        <w:t xml:space="preserve">inancial statement disclosures </w:t>
      </w:r>
      <w:r w:rsidR="00E23365" w:rsidRPr="00C361C5">
        <w:rPr>
          <w:rFonts w:ascii="Arial" w:hAnsi="Arial" w:cs="Arial"/>
          <w:sz w:val="20"/>
          <w:szCs w:val="20"/>
        </w:rPr>
        <w:t xml:space="preserve">will vary </w:t>
      </w:r>
      <w:r w:rsidR="003A4060" w:rsidRPr="00C361C5">
        <w:rPr>
          <w:rFonts w:ascii="Arial" w:hAnsi="Arial" w:cs="Arial"/>
          <w:sz w:val="20"/>
          <w:szCs w:val="20"/>
        </w:rPr>
        <w:t xml:space="preserve">depending on </w:t>
      </w:r>
      <w:r w:rsidR="007C19A5" w:rsidRPr="00C361C5">
        <w:rPr>
          <w:rFonts w:ascii="Arial" w:hAnsi="Arial" w:cs="Arial"/>
          <w:sz w:val="20"/>
          <w:szCs w:val="20"/>
        </w:rPr>
        <w:t xml:space="preserve">whether there have been any </w:t>
      </w:r>
      <w:r w:rsidR="00A45CC7" w:rsidRPr="00C361C5">
        <w:rPr>
          <w:rFonts w:ascii="Arial" w:hAnsi="Arial" w:cs="Arial"/>
          <w:sz w:val="20"/>
          <w:szCs w:val="20"/>
        </w:rPr>
        <w:t xml:space="preserve">plan changes or amendments for the </w:t>
      </w:r>
      <w:r w:rsidR="00E23365" w:rsidRPr="00C361C5">
        <w:rPr>
          <w:rFonts w:ascii="Arial" w:hAnsi="Arial" w:cs="Arial"/>
          <w:sz w:val="20"/>
          <w:szCs w:val="20"/>
        </w:rPr>
        <w:t xml:space="preserve">SECURE Act, </w:t>
      </w:r>
      <w:r w:rsidR="00A45CC7" w:rsidRPr="00C361C5">
        <w:rPr>
          <w:rFonts w:ascii="Arial" w:hAnsi="Arial" w:cs="Arial"/>
          <w:sz w:val="20"/>
          <w:szCs w:val="20"/>
        </w:rPr>
        <w:t>CARES Ac</w:t>
      </w:r>
      <w:r w:rsidR="00E23365" w:rsidRPr="00C361C5">
        <w:rPr>
          <w:rFonts w:ascii="Arial" w:hAnsi="Arial" w:cs="Arial"/>
          <w:sz w:val="20"/>
          <w:szCs w:val="20"/>
        </w:rPr>
        <w:t xml:space="preserve">t </w:t>
      </w:r>
      <w:r w:rsidR="00A45CC7" w:rsidRPr="00C361C5">
        <w:rPr>
          <w:rFonts w:ascii="Arial" w:hAnsi="Arial" w:cs="Arial"/>
          <w:sz w:val="20"/>
          <w:szCs w:val="20"/>
        </w:rPr>
        <w:t>or other changes to the plan, including a plan freeze or partial or full termination; circumstances at the plan sponsor (financial position, ability to fund the plan currently and in the future, etc.); potential market volatility; and other factors.</w:t>
      </w:r>
    </w:p>
    <w:p w14:paraId="7AA87B13" w14:textId="2C86723A" w:rsidR="000948B1" w:rsidRPr="00C361C5" w:rsidRDefault="000948B1" w:rsidP="009D6371">
      <w:pPr>
        <w:rPr>
          <w:rFonts w:ascii="Arial" w:hAnsi="Arial" w:cs="Arial"/>
          <w:sz w:val="20"/>
          <w:szCs w:val="20"/>
        </w:rPr>
      </w:pPr>
    </w:p>
    <w:p w14:paraId="59A70485" w14:textId="5E7C3B58" w:rsidR="005A772C" w:rsidRPr="00C361C5" w:rsidRDefault="00E07562" w:rsidP="00326ACF">
      <w:pPr>
        <w:pStyle w:val="TableParagraph"/>
        <w:spacing w:line="218" w:lineRule="exact"/>
        <w:rPr>
          <w:sz w:val="20"/>
          <w:szCs w:val="20"/>
        </w:rPr>
      </w:pPr>
      <w:r w:rsidRPr="00C361C5">
        <w:rPr>
          <w:sz w:val="20"/>
          <w:szCs w:val="20"/>
        </w:rPr>
        <w:t xml:space="preserve">The following is a list </w:t>
      </w:r>
      <w:r w:rsidR="00AE53E4" w:rsidRPr="00C361C5">
        <w:rPr>
          <w:sz w:val="20"/>
          <w:szCs w:val="20"/>
        </w:rPr>
        <w:t xml:space="preserve">of </w:t>
      </w:r>
      <w:r w:rsidR="00D5775A" w:rsidRPr="00C361C5">
        <w:rPr>
          <w:sz w:val="20"/>
          <w:szCs w:val="20"/>
        </w:rPr>
        <w:t xml:space="preserve">certain </w:t>
      </w:r>
      <w:r w:rsidR="005574FB" w:rsidRPr="00C361C5">
        <w:rPr>
          <w:sz w:val="20"/>
          <w:szCs w:val="20"/>
        </w:rPr>
        <w:t xml:space="preserve">plan </w:t>
      </w:r>
      <w:r w:rsidRPr="00C361C5">
        <w:rPr>
          <w:sz w:val="20"/>
          <w:szCs w:val="20"/>
        </w:rPr>
        <w:t>financial statement disclosure</w:t>
      </w:r>
      <w:r w:rsidR="00AE53E4" w:rsidRPr="00C361C5">
        <w:rPr>
          <w:sz w:val="20"/>
          <w:szCs w:val="20"/>
        </w:rPr>
        <w:t xml:space="preserve"> considerations</w:t>
      </w:r>
      <w:r w:rsidRPr="00C361C5">
        <w:rPr>
          <w:sz w:val="20"/>
          <w:szCs w:val="20"/>
        </w:rPr>
        <w:t xml:space="preserve"> </w:t>
      </w:r>
      <w:r w:rsidR="006957A8" w:rsidRPr="00C361C5">
        <w:rPr>
          <w:sz w:val="20"/>
          <w:szCs w:val="20"/>
        </w:rPr>
        <w:t xml:space="preserve">in the </w:t>
      </w:r>
      <w:r w:rsidR="005574FB" w:rsidRPr="00C361C5">
        <w:rPr>
          <w:sz w:val="20"/>
          <w:szCs w:val="20"/>
        </w:rPr>
        <w:t xml:space="preserve">current </w:t>
      </w:r>
      <w:r w:rsidR="006957A8" w:rsidRPr="00C361C5">
        <w:rPr>
          <w:sz w:val="20"/>
          <w:szCs w:val="20"/>
        </w:rPr>
        <w:t>environment</w:t>
      </w:r>
      <w:r w:rsidR="00093C9C" w:rsidRPr="00C361C5">
        <w:rPr>
          <w:sz w:val="20"/>
          <w:szCs w:val="20"/>
        </w:rPr>
        <w:t>.</w:t>
      </w:r>
    </w:p>
    <w:p w14:paraId="43D9D765" w14:textId="77777777" w:rsidR="00E07562" w:rsidRPr="00376B06" w:rsidRDefault="00E07562" w:rsidP="00376B06">
      <w:pPr>
        <w:rPr>
          <w:rFonts w:ascii="Arial" w:hAnsi="Arial" w:cs="Arial"/>
          <w:sz w:val="20"/>
          <w:szCs w:val="20"/>
        </w:rPr>
      </w:pPr>
    </w:p>
    <w:p w14:paraId="298C9D61" w14:textId="038D2A93" w:rsidR="006D1419" w:rsidRPr="004270AB" w:rsidRDefault="006D1419" w:rsidP="00326ACF">
      <w:pPr>
        <w:pStyle w:val="TableParagraph"/>
        <w:spacing w:after="120" w:line="218" w:lineRule="exact"/>
        <w:rPr>
          <w:i/>
          <w:color w:val="365F91"/>
          <w:sz w:val="24"/>
          <w:szCs w:val="24"/>
        </w:rPr>
      </w:pPr>
      <w:r w:rsidRPr="004270AB">
        <w:rPr>
          <w:i/>
          <w:color w:val="365F91"/>
          <w:sz w:val="24"/>
          <w:szCs w:val="24"/>
        </w:rPr>
        <w:t>Risks and uncertainties</w:t>
      </w:r>
    </w:p>
    <w:p w14:paraId="127E632A" w14:textId="554871E8" w:rsidR="006D1419" w:rsidRPr="00C361C5" w:rsidRDefault="00093C9C" w:rsidP="00326ACF">
      <w:pPr>
        <w:pStyle w:val="TableParagraph"/>
        <w:numPr>
          <w:ilvl w:val="0"/>
          <w:numId w:val="20"/>
        </w:numPr>
        <w:spacing w:before="120" w:after="120" w:line="218" w:lineRule="exact"/>
        <w:rPr>
          <w:sz w:val="20"/>
          <w:szCs w:val="20"/>
        </w:rPr>
      </w:pPr>
      <w:r w:rsidRPr="00C361C5">
        <w:rPr>
          <w:sz w:val="20"/>
          <w:szCs w:val="20"/>
        </w:rPr>
        <w:t xml:space="preserve">Did management </w:t>
      </w:r>
      <w:r w:rsidR="006D1419" w:rsidRPr="00C361C5">
        <w:rPr>
          <w:sz w:val="20"/>
          <w:szCs w:val="20"/>
        </w:rPr>
        <w:t xml:space="preserve">consider whether </w:t>
      </w:r>
      <w:r w:rsidR="00282CCA" w:rsidRPr="00C361C5">
        <w:rPr>
          <w:sz w:val="20"/>
          <w:szCs w:val="20"/>
        </w:rPr>
        <w:t xml:space="preserve">to </w:t>
      </w:r>
      <w:r w:rsidR="000413B8" w:rsidRPr="00C361C5">
        <w:rPr>
          <w:sz w:val="20"/>
          <w:szCs w:val="20"/>
        </w:rPr>
        <w:t xml:space="preserve">include </w:t>
      </w:r>
      <w:r w:rsidR="006D1419" w:rsidRPr="00C361C5">
        <w:rPr>
          <w:sz w:val="20"/>
          <w:szCs w:val="20"/>
        </w:rPr>
        <w:t>disclosure</w:t>
      </w:r>
      <w:r w:rsidR="000413B8" w:rsidRPr="00C361C5">
        <w:rPr>
          <w:sz w:val="20"/>
          <w:szCs w:val="20"/>
        </w:rPr>
        <w:t>s</w:t>
      </w:r>
      <w:r w:rsidR="00282CCA" w:rsidRPr="00C361C5">
        <w:rPr>
          <w:sz w:val="20"/>
          <w:szCs w:val="20"/>
        </w:rPr>
        <w:t xml:space="preserve"> </w:t>
      </w:r>
      <w:r w:rsidR="00F85D6F" w:rsidRPr="00C361C5">
        <w:rPr>
          <w:sz w:val="20"/>
          <w:szCs w:val="20"/>
        </w:rPr>
        <w:t xml:space="preserve">in the plan’s financial statements related to </w:t>
      </w:r>
      <w:r w:rsidR="006D1419" w:rsidRPr="00C361C5">
        <w:rPr>
          <w:sz w:val="20"/>
          <w:szCs w:val="20"/>
        </w:rPr>
        <w:t>risks and uncertainties</w:t>
      </w:r>
      <w:r w:rsidR="00282CCA" w:rsidRPr="00C361C5">
        <w:rPr>
          <w:sz w:val="20"/>
          <w:szCs w:val="20"/>
        </w:rPr>
        <w:t xml:space="preserve"> in the current </w:t>
      </w:r>
      <w:r w:rsidR="00D5775A" w:rsidRPr="00C361C5">
        <w:rPr>
          <w:sz w:val="20"/>
          <w:szCs w:val="20"/>
        </w:rPr>
        <w:t>environment</w:t>
      </w:r>
      <w:r w:rsidR="006D1419" w:rsidRPr="00C361C5">
        <w:rPr>
          <w:sz w:val="20"/>
          <w:szCs w:val="20"/>
        </w:rPr>
        <w:t xml:space="preserve"> (</w:t>
      </w:r>
      <w:r w:rsidR="00513797" w:rsidRPr="00C361C5">
        <w:rPr>
          <w:sz w:val="20"/>
          <w:szCs w:val="20"/>
        </w:rPr>
        <w:t>e.g.</w:t>
      </w:r>
      <w:r w:rsidR="00931AB8" w:rsidRPr="00C361C5">
        <w:rPr>
          <w:sz w:val="20"/>
          <w:szCs w:val="20"/>
        </w:rPr>
        <w:t>,</w:t>
      </w:r>
      <w:r w:rsidR="006D1419" w:rsidRPr="00C361C5">
        <w:rPr>
          <w:sz w:val="20"/>
          <w:szCs w:val="20"/>
        </w:rPr>
        <w:t xml:space="preserve"> </w:t>
      </w:r>
      <w:r w:rsidR="006D1419" w:rsidRPr="00C361C5">
        <w:rPr>
          <w:rFonts w:eastAsia="Times New Roman"/>
          <w:sz w:val="20"/>
          <w:szCs w:val="20"/>
        </w:rPr>
        <w:t>heightened market risk and volatility associated with the pandemic that could materially affect participants' account balances and the amounts reported in the statements of net assets available for benefits and the statements of changes in net assets available for benefits)</w:t>
      </w:r>
      <w:r w:rsidR="00281FB3" w:rsidRPr="00C361C5">
        <w:rPr>
          <w:sz w:val="20"/>
          <w:szCs w:val="20"/>
        </w:rPr>
        <w:t>?</w:t>
      </w:r>
    </w:p>
    <w:p w14:paraId="2C936A18" w14:textId="5746BB14" w:rsidR="006D1419" w:rsidRPr="00C361C5" w:rsidRDefault="000F3D93">
      <w:pPr>
        <w:shd w:val="clear" w:color="auto" w:fill="FFFFFF"/>
        <w:spacing w:before="100" w:beforeAutospacing="1" w:after="100" w:afterAutospacing="1"/>
        <w:ind w:left="1440"/>
        <w:rPr>
          <w:rFonts w:ascii="Arial" w:hAnsi="Arial" w:cs="Arial"/>
          <w:sz w:val="20"/>
          <w:szCs w:val="20"/>
        </w:rPr>
      </w:pPr>
      <w:r w:rsidRPr="00C361C5">
        <w:rPr>
          <w:rFonts w:ascii="Arial" w:hAnsi="Arial" w:cs="Arial"/>
          <w:sz w:val="20"/>
          <w:szCs w:val="20"/>
        </w:rPr>
        <w:lastRenderedPageBreak/>
        <w:t xml:space="preserve">FASB </w:t>
      </w:r>
      <w:r w:rsidR="006D1419" w:rsidRPr="00C361C5">
        <w:rPr>
          <w:rFonts w:ascii="Arial" w:hAnsi="Arial" w:cs="Arial"/>
          <w:sz w:val="20"/>
          <w:szCs w:val="20"/>
        </w:rPr>
        <w:t>ASC 275 requires disclosures that focus primarily on risks and uncertainties that could significantly affect the amounts reported in the financial statements in the near term or the near</w:t>
      </w:r>
      <w:r w:rsidR="006D1419" w:rsidRPr="00C361C5">
        <w:rPr>
          <w:rFonts w:ascii="Cambria Math" w:hAnsi="Cambria Math" w:cs="Cambria Math"/>
          <w:sz w:val="20"/>
          <w:szCs w:val="20"/>
        </w:rPr>
        <w:t>‐</w:t>
      </w:r>
      <w:r w:rsidR="006D1419" w:rsidRPr="00C361C5">
        <w:rPr>
          <w:rFonts w:ascii="Arial" w:hAnsi="Arial" w:cs="Arial"/>
          <w:sz w:val="20"/>
          <w:szCs w:val="20"/>
        </w:rPr>
        <w:t>term functioning of the reporting entity. The risks and uncertainties addressed can stem from the nature of an entity’s operations, the use of significant estimates, and current vulnerabilities due to certain concentrations. The effects of COVID</w:t>
      </w:r>
      <w:r w:rsidR="006D1419" w:rsidRPr="00C361C5">
        <w:rPr>
          <w:rFonts w:ascii="Cambria Math" w:hAnsi="Cambria Math" w:cs="Cambria Math"/>
          <w:sz w:val="20"/>
          <w:szCs w:val="20"/>
        </w:rPr>
        <w:t>‐</w:t>
      </w:r>
      <w:r w:rsidR="006D1419" w:rsidRPr="00C361C5">
        <w:rPr>
          <w:rFonts w:ascii="Arial" w:hAnsi="Arial" w:cs="Arial"/>
          <w:sz w:val="20"/>
          <w:szCs w:val="20"/>
        </w:rPr>
        <w:t xml:space="preserve">19 may negatively </w:t>
      </w:r>
      <w:r w:rsidR="002127C7" w:rsidRPr="00C361C5">
        <w:rPr>
          <w:rFonts w:ascii="Arial" w:hAnsi="Arial" w:cs="Arial"/>
          <w:sz w:val="20"/>
          <w:szCs w:val="20"/>
        </w:rPr>
        <w:t>affect</w:t>
      </w:r>
      <w:r w:rsidR="006D1419" w:rsidRPr="00C361C5">
        <w:rPr>
          <w:rFonts w:ascii="Arial" w:hAnsi="Arial" w:cs="Arial"/>
          <w:sz w:val="20"/>
          <w:szCs w:val="20"/>
        </w:rPr>
        <w:t xml:space="preserve"> significant estimates and exacerbate a vulnerability due to certain concentrations.</w:t>
      </w:r>
    </w:p>
    <w:p w14:paraId="03028655" w14:textId="77777777" w:rsidR="006D1419" w:rsidRPr="00291D56" w:rsidRDefault="006D1419" w:rsidP="006D1419">
      <w:pPr>
        <w:pStyle w:val="TableParagraph"/>
        <w:spacing w:before="120" w:after="120" w:line="218" w:lineRule="exact"/>
        <w:rPr>
          <w:rFonts w:ascii="Roboto Thin" w:hAnsi="Roboto Thin"/>
          <w:i/>
          <w:color w:val="365F91"/>
          <w:sz w:val="24"/>
          <w:szCs w:val="24"/>
        </w:rPr>
      </w:pPr>
      <w:r w:rsidRPr="00291D56">
        <w:rPr>
          <w:rFonts w:ascii="Roboto Thin" w:hAnsi="Roboto Thin"/>
          <w:i/>
          <w:color w:val="365F91"/>
          <w:sz w:val="24"/>
          <w:szCs w:val="24"/>
        </w:rPr>
        <w:t>Subsequent events</w:t>
      </w:r>
    </w:p>
    <w:p w14:paraId="12E82148" w14:textId="77C51620" w:rsidR="006D1419" w:rsidRPr="00C361C5" w:rsidRDefault="00D5775A" w:rsidP="00F85D6F">
      <w:pPr>
        <w:pStyle w:val="TableParagraph"/>
        <w:numPr>
          <w:ilvl w:val="0"/>
          <w:numId w:val="20"/>
        </w:numPr>
        <w:spacing w:before="120" w:line="218" w:lineRule="exact"/>
        <w:rPr>
          <w:sz w:val="20"/>
          <w:szCs w:val="20"/>
        </w:rPr>
      </w:pPr>
      <w:r w:rsidRPr="00C361C5">
        <w:rPr>
          <w:sz w:val="20"/>
          <w:szCs w:val="20"/>
        </w:rPr>
        <w:t>Did management consider whether to disclos</w:t>
      </w:r>
      <w:r w:rsidR="001A6A71" w:rsidRPr="00C361C5">
        <w:rPr>
          <w:sz w:val="20"/>
          <w:szCs w:val="20"/>
        </w:rPr>
        <w:t>e</w:t>
      </w:r>
      <w:r w:rsidRPr="00C361C5">
        <w:rPr>
          <w:sz w:val="20"/>
          <w:szCs w:val="20"/>
        </w:rPr>
        <w:t xml:space="preserve"> </w:t>
      </w:r>
      <w:r w:rsidR="006D1419" w:rsidRPr="00C361C5">
        <w:rPr>
          <w:sz w:val="20"/>
          <w:szCs w:val="20"/>
        </w:rPr>
        <w:t xml:space="preserve">events or transactions </w:t>
      </w:r>
      <w:r w:rsidR="00F85D6F" w:rsidRPr="00C361C5">
        <w:rPr>
          <w:sz w:val="20"/>
          <w:szCs w:val="20"/>
        </w:rPr>
        <w:t xml:space="preserve">in the plan’s financial statements </w:t>
      </w:r>
      <w:r w:rsidR="006D1419" w:rsidRPr="00C361C5">
        <w:rPr>
          <w:sz w:val="20"/>
          <w:szCs w:val="20"/>
        </w:rPr>
        <w:t>that occurred after the plan year end but before the financial statements are issued (or for SEC filers</w:t>
      </w:r>
      <w:r w:rsidR="001A6A71" w:rsidRPr="00C361C5">
        <w:rPr>
          <w:sz w:val="20"/>
          <w:szCs w:val="20"/>
        </w:rPr>
        <w:t>,</w:t>
      </w:r>
      <w:r w:rsidR="006D1419" w:rsidRPr="00C361C5">
        <w:rPr>
          <w:sz w:val="20"/>
          <w:szCs w:val="20"/>
        </w:rPr>
        <w:t xml:space="preserve"> are available to be issued) (</w:t>
      </w:r>
      <w:r w:rsidR="001A6A71" w:rsidRPr="00C361C5">
        <w:rPr>
          <w:sz w:val="20"/>
          <w:szCs w:val="20"/>
        </w:rPr>
        <w:t>e.g., the</w:t>
      </w:r>
      <w:r w:rsidR="006D1419" w:rsidRPr="00C361C5">
        <w:rPr>
          <w:sz w:val="20"/>
          <w:szCs w:val="20"/>
        </w:rPr>
        <w:t xml:space="preserve"> effect</w:t>
      </w:r>
      <w:r w:rsidR="001A6A71" w:rsidRPr="00C361C5">
        <w:rPr>
          <w:sz w:val="20"/>
          <w:szCs w:val="20"/>
        </w:rPr>
        <w:t>s</w:t>
      </w:r>
      <w:r w:rsidR="006D1419" w:rsidRPr="00C361C5">
        <w:rPr>
          <w:sz w:val="20"/>
          <w:szCs w:val="20"/>
        </w:rPr>
        <w:t xml:space="preserve"> of </w:t>
      </w:r>
      <w:r w:rsidR="001A6A71" w:rsidRPr="00C361C5">
        <w:rPr>
          <w:sz w:val="20"/>
          <w:szCs w:val="20"/>
        </w:rPr>
        <w:t xml:space="preserve">the </w:t>
      </w:r>
      <w:r w:rsidR="006D1419" w:rsidRPr="00C361C5">
        <w:rPr>
          <w:sz w:val="20"/>
          <w:szCs w:val="20"/>
        </w:rPr>
        <w:t>COVID-19 pandemic including significant declines in fair value of investment securities; changes in the plan for the SECURE Act</w:t>
      </w:r>
      <w:r w:rsidR="0078523F" w:rsidRPr="00C361C5">
        <w:rPr>
          <w:sz w:val="20"/>
          <w:szCs w:val="20"/>
        </w:rPr>
        <w:t xml:space="preserve">, </w:t>
      </w:r>
      <w:r w:rsidR="006D1419" w:rsidRPr="00C361C5">
        <w:rPr>
          <w:sz w:val="20"/>
          <w:szCs w:val="20"/>
        </w:rPr>
        <w:t>CARES Act, or other changes made to the plan after the plan year end; a plan freeze or partial or full termination)?</w:t>
      </w:r>
    </w:p>
    <w:p w14:paraId="19A227F6" w14:textId="77777777" w:rsidR="00E544F6" w:rsidRPr="00C361C5" w:rsidRDefault="00E544F6" w:rsidP="00326ACF">
      <w:pPr>
        <w:pStyle w:val="TableParagraph"/>
        <w:spacing w:line="218" w:lineRule="exact"/>
        <w:ind w:left="1440"/>
        <w:rPr>
          <w:i/>
          <w:sz w:val="20"/>
          <w:szCs w:val="20"/>
        </w:rPr>
      </w:pPr>
    </w:p>
    <w:p w14:paraId="35E05FB0" w14:textId="631AE3CD" w:rsidR="006D1419" w:rsidRPr="00C361C5" w:rsidRDefault="006D1419">
      <w:pPr>
        <w:pStyle w:val="TableParagraph"/>
        <w:spacing w:after="120" w:line="218" w:lineRule="exact"/>
        <w:ind w:left="1440"/>
        <w:rPr>
          <w:sz w:val="20"/>
          <w:szCs w:val="20"/>
        </w:rPr>
      </w:pPr>
      <w:r w:rsidRPr="00C361C5">
        <w:rPr>
          <w:i/>
          <w:sz w:val="20"/>
          <w:szCs w:val="20"/>
        </w:rPr>
        <w:t>COVID-19 pandemic</w:t>
      </w:r>
    </w:p>
    <w:p w14:paraId="117F2B85" w14:textId="4C15A8B8" w:rsidR="006D1419" w:rsidRPr="00C361C5" w:rsidRDefault="006D1419" w:rsidP="00F94B3A">
      <w:pPr>
        <w:pStyle w:val="TableParagraph"/>
        <w:spacing w:line="218" w:lineRule="exact"/>
        <w:ind w:left="1440"/>
        <w:rPr>
          <w:sz w:val="20"/>
          <w:szCs w:val="20"/>
        </w:rPr>
      </w:pPr>
      <w:r w:rsidRPr="00C361C5">
        <w:rPr>
          <w:sz w:val="20"/>
          <w:szCs w:val="20"/>
        </w:rPr>
        <w:t>For calendar year</w:t>
      </w:r>
      <w:r w:rsidRPr="00C361C5">
        <w:rPr>
          <w:rFonts w:ascii="Cambria Math" w:hAnsi="Cambria Math" w:cs="Cambria Math"/>
          <w:sz w:val="20"/>
          <w:szCs w:val="20"/>
        </w:rPr>
        <w:t>‐</w:t>
      </w:r>
      <w:r w:rsidRPr="00C361C5">
        <w:rPr>
          <w:sz w:val="20"/>
          <w:szCs w:val="20"/>
        </w:rPr>
        <w:t>end 2019 financial statements, COVID</w:t>
      </w:r>
      <w:r w:rsidRPr="00C361C5">
        <w:rPr>
          <w:rFonts w:ascii="Cambria Math" w:hAnsi="Cambria Math" w:cs="Cambria Math"/>
          <w:sz w:val="20"/>
          <w:szCs w:val="20"/>
        </w:rPr>
        <w:t>‐</w:t>
      </w:r>
      <w:r w:rsidRPr="00C361C5">
        <w:rPr>
          <w:sz w:val="20"/>
          <w:szCs w:val="20"/>
        </w:rPr>
        <w:t xml:space="preserve">19 related subsequent events identified likely are to be </w:t>
      </w:r>
      <w:proofErr w:type="spellStart"/>
      <w:r w:rsidRPr="00C361C5">
        <w:rPr>
          <w:sz w:val="20"/>
          <w:szCs w:val="20"/>
        </w:rPr>
        <w:t>nonrecognized</w:t>
      </w:r>
      <w:proofErr w:type="spellEnd"/>
      <w:r w:rsidRPr="00C361C5">
        <w:rPr>
          <w:sz w:val="20"/>
          <w:szCs w:val="20"/>
        </w:rPr>
        <w:t xml:space="preserve"> subsequent events. Some </w:t>
      </w:r>
      <w:proofErr w:type="spellStart"/>
      <w:r w:rsidRPr="00C361C5">
        <w:rPr>
          <w:sz w:val="20"/>
          <w:szCs w:val="20"/>
        </w:rPr>
        <w:t>nonrecognized</w:t>
      </w:r>
      <w:proofErr w:type="spellEnd"/>
      <w:r w:rsidRPr="00C361C5">
        <w:rPr>
          <w:sz w:val="20"/>
          <w:szCs w:val="20"/>
        </w:rPr>
        <w:t xml:space="preserve"> subsequent events may be of such a nature that financial statement disclosure is required to keep the statements from being misleading. In these situations, financial statements need to include disclosure of the nature of the event(s)</w:t>
      </w:r>
      <w:r w:rsidR="00A60C9B" w:rsidRPr="00C361C5">
        <w:rPr>
          <w:sz w:val="20"/>
          <w:szCs w:val="20"/>
        </w:rPr>
        <w:t>, and a</w:t>
      </w:r>
      <w:r w:rsidRPr="00C361C5">
        <w:rPr>
          <w:sz w:val="20"/>
          <w:szCs w:val="20"/>
        </w:rPr>
        <w:t>n estimate of the financial statement effect of the event(s), or a statement that the estimate cannot be made</w:t>
      </w:r>
      <w:r w:rsidR="00A60C9B" w:rsidRPr="00C361C5">
        <w:rPr>
          <w:sz w:val="20"/>
          <w:szCs w:val="20"/>
        </w:rPr>
        <w:t>.</w:t>
      </w:r>
    </w:p>
    <w:p w14:paraId="545B0586" w14:textId="77777777" w:rsidR="00F94B3A" w:rsidRPr="00C361C5" w:rsidRDefault="00F94B3A" w:rsidP="001129E7">
      <w:pPr>
        <w:pStyle w:val="TableParagraph"/>
        <w:spacing w:line="218" w:lineRule="exact"/>
        <w:ind w:left="1440"/>
        <w:rPr>
          <w:sz w:val="20"/>
          <w:szCs w:val="20"/>
        </w:rPr>
      </w:pPr>
    </w:p>
    <w:p w14:paraId="2F5D2978" w14:textId="5EEEB31F" w:rsidR="00427CFB" w:rsidRPr="00C361C5" w:rsidRDefault="00427CFB" w:rsidP="009C6D3F">
      <w:pPr>
        <w:pStyle w:val="TableParagraph"/>
        <w:spacing w:line="218" w:lineRule="exact"/>
        <w:ind w:left="1440"/>
        <w:rPr>
          <w:sz w:val="20"/>
          <w:szCs w:val="20"/>
        </w:rPr>
      </w:pPr>
      <w:r w:rsidRPr="00C361C5">
        <w:rPr>
          <w:sz w:val="20"/>
          <w:szCs w:val="20"/>
        </w:rPr>
        <w:t>The following is a list of items that may have occurred after year-end but subsequent to the issuance of the auditor’s report that may result in subsequent event considerations:</w:t>
      </w:r>
    </w:p>
    <w:p w14:paraId="3DD812DE" w14:textId="1900A512" w:rsidR="009C6D3F" w:rsidRPr="00C361C5" w:rsidRDefault="009C6D3F" w:rsidP="009C6D3F">
      <w:pPr>
        <w:pStyle w:val="TableParagraph"/>
        <w:spacing w:line="218" w:lineRule="exact"/>
        <w:ind w:left="1440"/>
        <w:rPr>
          <w:sz w:val="20"/>
          <w:szCs w:val="20"/>
        </w:rPr>
      </w:pPr>
    </w:p>
    <w:p w14:paraId="2295556C" w14:textId="77777777" w:rsidR="009C6D3F" w:rsidRPr="00C361C5" w:rsidRDefault="00021C97" w:rsidP="009C6D3F">
      <w:pPr>
        <w:pStyle w:val="TableParagraph"/>
        <w:numPr>
          <w:ilvl w:val="0"/>
          <w:numId w:val="15"/>
        </w:numPr>
        <w:spacing w:line="218" w:lineRule="exact"/>
        <w:ind w:left="1800"/>
        <w:rPr>
          <w:sz w:val="20"/>
          <w:szCs w:val="20"/>
        </w:rPr>
      </w:pPr>
      <w:r w:rsidRPr="00C361C5">
        <w:rPr>
          <w:sz w:val="20"/>
          <w:szCs w:val="20"/>
        </w:rPr>
        <w:t>Has the plan been terminated, frozen or closed to new participants?</w:t>
      </w:r>
    </w:p>
    <w:p w14:paraId="37AC5332" w14:textId="5E273374" w:rsidR="00021C97" w:rsidRPr="00C361C5" w:rsidRDefault="00021C97" w:rsidP="001129E7">
      <w:pPr>
        <w:pStyle w:val="TableParagraph"/>
        <w:spacing w:line="218" w:lineRule="exact"/>
        <w:ind w:left="1800"/>
        <w:rPr>
          <w:sz w:val="20"/>
          <w:szCs w:val="20"/>
        </w:rPr>
      </w:pPr>
    </w:p>
    <w:p w14:paraId="690081A0" w14:textId="065AA2E1" w:rsidR="00021C97" w:rsidRPr="00C361C5" w:rsidRDefault="00021C97" w:rsidP="009C6D3F">
      <w:pPr>
        <w:pStyle w:val="ListParagraph"/>
        <w:numPr>
          <w:ilvl w:val="0"/>
          <w:numId w:val="15"/>
        </w:numPr>
        <w:ind w:left="1800"/>
        <w:rPr>
          <w:rFonts w:cs="Arial"/>
          <w:szCs w:val="20"/>
        </w:rPr>
      </w:pPr>
      <w:r w:rsidRPr="00C361C5">
        <w:rPr>
          <w:rFonts w:cs="Arial"/>
          <w:szCs w:val="20"/>
        </w:rPr>
        <w:t>Have there been layoffs or other workforce downsizing resulting in a partial plan termination?</w:t>
      </w:r>
    </w:p>
    <w:p w14:paraId="5379CD83" w14:textId="77777777" w:rsidR="00021C97" w:rsidRPr="00C361C5" w:rsidRDefault="00021C97" w:rsidP="00376B06">
      <w:pPr>
        <w:pStyle w:val="TableParagraph"/>
        <w:spacing w:line="218" w:lineRule="exact"/>
        <w:ind w:left="1440"/>
        <w:rPr>
          <w:sz w:val="20"/>
          <w:szCs w:val="20"/>
        </w:rPr>
      </w:pPr>
    </w:p>
    <w:p w14:paraId="02CDF422" w14:textId="609C77F8" w:rsidR="00021C97" w:rsidRPr="00C361C5" w:rsidRDefault="00021C97" w:rsidP="009C6D3F">
      <w:pPr>
        <w:ind w:left="2520"/>
        <w:rPr>
          <w:rFonts w:ascii="Arial" w:hAnsi="Arial" w:cs="Arial"/>
          <w:sz w:val="20"/>
          <w:szCs w:val="20"/>
          <w:shd w:val="clear" w:color="auto" w:fill="FFFFFF"/>
        </w:rPr>
      </w:pPr>
      <w:r w:rsidRPr="00C361C5">
        <w:rPr>
          <w:rFonts w:ascii="Arial" w:hAnsi="Arial" w:cs="Arial"/>
          <w:sz w:val="20"/>
          <w:szCs w:val="20"/>
          <w:shd w:val="clear" w:color="auto" w:fill="FFFFFF"/>
        </w:rPr>
        <w:t xml:space="preserve">A partial plan termination may occur generally when 20% or more of participants are terminated. Such a determination may involve plan legal counsel. Upon full or partial termination of a plan, affected participants become fully vested in accrued benefits at the termination date. See IRS guidance on partial termination of plans at </w:t>
      </w:r>
      <w:hyperlink r:id="rId12" w:history="1">
        <w:r w:rsidRPr="00C361C5">
          <w:rPr>
            <w:rFonts w:ascii="Arial" w:hAnsi="Arial" w:cs="Arial"/>
            <w:sz w:val="20"/>
            <w:szCs w:val="20"/>
            <w:shd w:val="clear" w:color="auto" w:fill="FFFFFF"/>
          </w:rPr>
          <w:t>https://www.irs.gov/retirement-plans/partial-termination-of-plan</w:t>
        </w:r>
      </w:hyperlink>
      <w:r w:rsidRPr="00C361C5">
        <w:rPr>
          <w:rFonts w:ascii="Arial" w:hAnsi="Arial" w:cs="Arial"/>
          <w:sz w:val="20"/>
          <w:szCs w:val="20"/>
          <w:shd w:val="clear" w:color="auto" w:fill="FFFFFF"/>
        </w:rPr>
        <w:t>.</w:t>
      </w:r>
    </w:p>
    <w:p w14:paraId="5CA1C7F0" w14:textId="77777777" w:rsidR="00021C97" w:rsidRPr="00C361C5" w:rsidRDefault="00021C97" w:rsidP="00376B06">
      <w:pPr>
        <w:pStyle w:val="TableParagraph"/>
        <w:spacing w:line="218" w:lineRule="exact"/>
        <w:ind w:left="1440"/>
        <w:rPr>
          <w:sz w:val="20"/>
          <w:szCs w:val="20"/>
        </w:rPr>
      </w:pPr>
    </w:p>
    <w:p w14:paraId="45803953" w14:textId="6DB34D9E" w:rsidR="00021C97" w:rsidRPr="00C361C5" w:rsidRDefault="00021C97">
      <w:pPr>
        <w:pStyle w:val="ListParagraph"/>
        <w:numPr>
          <w:ilvl w:val="0"/>
          <w:numId w:val="15"/>
        </w:numPr>
        <w:ind w:left="1800"/>
        <w:rPr>
          <w:rFonts w:cs="Arial"/>
          <w:szCs w:val="20"/>
        </w:rPr>
      </w:pPr>
      <w:r w:rsidRPr="00C361C5">
        <w:rPr>
          <w:rFonts w:cs="Arial"/>
          <w:szCs w:val="20"/>
        </w:rPr>
        <w:t>Have there been any adverse financial conditions at the plan sponsor that could affect the plan?</w:t>
      </w:r>
    </w:p>
    <w:p w14:paraId="6323F7A6" w14:textId="77777777" w:rsidR="00021C97" w:rsidRPr="00C361C5" w:rsidRDefault="00021C97" w:rsidP="00376B06">
      <w:pPr>
        <w:pStyle w:val="TableParagraph"/>
        <w:spacing w:line="218" w:lineRule="exact"/>
        <w:ind w:left="1440"/>
        <w:rPr>
          <w:sz w:val="20"/>
          <w:szCs w:val="20"/>
        </w:rPr>
      </w:pPr>
    </w:p>
    <w:p w14:paraId="75E0749E" w14:textId="24C79658" w:rsidR="00021C97" w:rsidRPr="00C361C5" w:rsidRDefault="00021C97" w:rsidP="009C6D3F">
      <w:pPr>
        <w:pStyle w:val="TableParagraph"/>
        <w:numPr>
          <w:ilvl w:val="0"/>
          <w:numId w:val="15"/>
        </w:numPr>
        <w:spacing w:line="218" w:lineRule="exact"/>
        <w:ind w:left="1800"/>
        <w:rPr>
          <w:sz w:val="20"/>
          <w:szCs w:val="20"/>
        </w:rPr>
      </w:pPr>
      <w:r w:rsidRPr="00C361C5">
        <w:rPr>
          <w:sz w:val="20"/>
          <w:szCs w:val="20"/>
        </w:rPr>
        <w:t>Ha</w:t>
      </w:r>
      <w:r w:rsidR="00F94B3A" w:rsidRPr="00C361C5">
        <w:rPr>
          <w:sz w:val="20"/>
          <w:szCs w:val="20"/>
        </w:rPr>
        <w:t>ve</w:t>
      </w:r>
      <w:r w:rsidRPr="00C361C5">
        <w:rPr>
          <w:sz w:val="20"/>
          <w:szCs w:val="20"/>
        </w:rPr>
        <w:t xml:space="preserve"> any employer contributions receivables been reviewed for collectability</w:t>
      </w:r>
      <w:r w:rsidR="005225E6" w:rsidRPr="00C361C5">
        <w:rPr>
          <w:sz w:val="20"/>
          <w:szCs w:val="20"/>
        </w:rPr>
        <w:t>?</w:t>
      </w:r>
    </w:p>
    <w:p w14:paraId="09E458C9" w14:textId="77777777" w:rsidR="00F94B3A" w:rsidRPr="00C361C5" w:rsidRDefault="00F94B3A" w:rsidP="00376B06">
      <w:pPr>
        <w:pStyle w:val="TableParagraph"/>
        <w:spacing w:line="218" w:lineRule="exact"/>
        <w:ind w:left="1440"/>
        <w:rPr>
          <w:sz w:val="20"/>
          <w:szCs w:val="20"/>
        </w:rPr>
      </w:pPr>
    </w:p>
    <w:p w14:paraId="01F53985" w14:textId="5A417C3F" w:rsidR="00021C97" w:rsidRPr="00C361C5" w:rsidRDefault="00021C97">
      <w:pPr>
        <w:ind w:left="2520"/>
        <w:rPr>
          <w:rFonts w:ascii="Arial" w:hAnsi="Arial" w:cs="Arial"/>
          <w:sz w:val="20"/>
          <w:szCs w:val="20"/>
          <w:shd w:val="clear" w:color="auto" w:fill="FFFFFF"/>
        </w:rPr>
      </w:pPr>
      <w:r w:rsidRPr="00C361C5">
        <w:rPr>
          <w:rFonts w:ascii="Arial" w:hAnsi="Arial" w:cs="Arial"/>
          <w:sz w:val="20"/>
          <w:szCs w:val="20"/>
          <w:shd w:val="clear" w:color="auto" w:fill="FFFFFF"/>
        </w:rPr>
        <w:t>Plans may have contributions receivable from the plan sponsor(s) such as funding contributions for defined benefit plans, and matching, discretionary matching, and profit-sharing contributions for defined contribution plans. These receivables, which may result from deferment of plan contributions or the plan sponsor’s inability to fund the plan as required, should be reviewed for collectability.</w:t>
      </w:r>
    </w:p>
    <w:p w14:paraId="4A16B0FF" w14:textId="56B55818" w:rsidR="006D1419" w:rsidRPr="00F65E8C" w:rsidRDefault="006D1419" w:rsidP="00F65E8C">
      <w:pPr>
        <w:pStyle w:val="TableParagraph"/>
        <w:spacing w:line="218" w:lineRule="exact"/>
        <w:ind w:left="1440"/>
        <w:rPr>
          <w:i/>
          <w:sz w:val="20"/>
          <w:szCs w:val="20"/>
        </w:rPr>
      </w:pPr>
    </w:p>
    <w:p w14:paraId="1C143DDD" w14:textId="460EFCEC" w:rsidR="006D1419" w:rsidRPr="00C361C5" w:rsidRDefault="006D1419" w:rsidP="00F65E8C">
      <w:pPr>
        <w:pStyle w:val="TableParagraph"/>
        <w:spacing w:after="120" w:line="218" w:lineRule="exact"/>
        <w:ind w:left="1440"/>
        <w:rPr>
          <w:i/>
          <w:sz w:val="20"/>
          <w:szCs w:val="20"/>
        </w:rPr>
      </w:pPr>
      <w:r w:rsidRPr="00C361C5">
        <w:rPr>
          <w:i/>
          <w:sz w:val="20"/>
          <w:szCs w:val="20"/>
        </w:rPr>
        <w:t>SECURE Act</w:t>
      </w:r>
    </w:p>
    <w:p w14:paraId="310BACEE" w14:textId="78FDE915" w:rsidR="00F94B3A" w:rsidRPr="00C361C5" w:rsidRDefault="00446AB1" w:rsidP="00F94B3A">
      <w:pPr>
        <w:pStyle w:val="TableParagraph"/>
        <w:spacing w:line="218" w:lineRule="exact"/>
        <w:ind w:left="1440"/>
        <w:rPr>
          <w:sz w:val="20"/>
          <w:szCs w:val="20"/>
        </w:rPr>
      </w:pPr>
      <w:r w:rsidRPr="00C361C5">
        <w:rPr>
          <w:sz w:val="20"/>
          <w:szCs w:val="20"/>
        </w:rPr>
        <w:t xml:space="preserve">The following is a list of items relating to SECURE </w:t>
      </w:r>
      <w:r w:rsidR="00E5745C" w:rsidRPr="00C361C5">
        <w:rPr>
          <w:sz w:val="20"/>
          <w:szCs w:val="20"/>
        </w:rPr>
        <w:t>A</w:t>
      </w:r>
      <w:r w:rsidRPr="00C361C5">
        <w:rPr>
          <w:sz w:val="20"/>
          <w:szCs w:val="20"/>
        </w:rPr>
        <w:t>ct that may result in subsequent event considerations:</w:t>
      </w:r>
    </w:p>
    <w:p w14:paraId="58983117" w14:textId="7626B387" w:rsidR="00F94B3A" w:rsidRPr="00C361C5" w:rsidRDefault="00F94B3A" w:rsidP="00F94B3A">
      <w:pPr>
        <w:pStyle w:val="TableParagraph"/>
        <w:spacing w:line="218" w:lineRule="exact"/>
        <w:ind w:left="1440"/>
        <w:rPr>
          <w:sz w:val="20"/>
          <w:szCs w:val="20"/>
        </w:rPr>
      </w:pPr>
    </w:p>
    <w:p w14:paraId="4F9606C0" w14:textId="7B0E90EC" w:rsidR="006D1419" w:rsidRPr="00C361C5" w:rsidRDefault="006D1419" w:rsidP="001129E7">
      <w:pPr>
        <w:pStyle w:val="TableParagraph"/>
        <w:numPr>
          <w:ilvl w:val="0"/>
          <w:numId w:val="22"/>
        </w:numPr>
        <w:spacing w:line="218" w:lineRule="exact"/>
        <w:rPr>
          <w:sz w:val="20"/>
          <w:szCs w:val="20"/>
        </w:rPr>
      </w:pPr>
      <w:r w:rsidRPr="00C361C5">
        <w:rPr>
          <w:sz w:val="20"/>
          <w:szCs w:val="20"/>
        </w:rPr>
        <w:t xml:space="preserve">Changes to the plan due to the SECURE Act, either by plan amendment or </w:t>
      </w:r>
      <w:r w:rsidR="0042069C" w:rsidRPr="00C361C5">
        <w:rPr>
          <w:sz w:val="20"/>
          <w:szCs w:val="20"/>
        </w:rPr>
        <w:t xml:space="preserve">that </w:t>
      </w:r>
      <w:r w:rsidRPr="00C361C5">
        <w:rPr>
          <w:sz w:val="20"/>
          <w:szCs w:val="20"/>
        </w:rPr>
        <w:t>were placed in operation without amending the plan, such as the following:</w:t>
      </w:r>
    </w:p>
    <w:p w14:paraId="498DC7D2" w14:textId="78DA9655" w:rsidR="006D1419" w:rsidRPr="00C361C5" w:rsidRDefault="006D1419">
      <w:pPr>
        <w:pStyle w:val="TableParagraph"/>
        <w:numPr>
          <w:ilvl w:val="0"/>
          <w:numId w:val="15"/>
        </w:numPr>
        <w:spacing w:line="218" w:lineRule="exact"/>
        <w:ind w:left="2880"/>
        <w:rPr>
          <w:sz w:val="20"/>
          <w:szCs w:val="20"/>
        </w:rPr>
      </w:pPr>
      <w:r w:rsidRPr="00C361C5">
        <w:rPr>
          <w:sz w:val="20"/>
          <w:szCs w:val="20"/>
        </w:rPr>
        <w:t>increasing the cap on payroll contributions from 10 percent to 15 percent for automatic-enrollment safe harbor plans (section 102);</w:t>
      </w:r>
    </w:p>
    <w:p w14:paraId="5F37957C" w14:textId="74C62A98" w:rsidR="006D1419" w:rsidRPr="00C361C5" w:rsidRDefault="006D1419">
      <w:pPr>
        <w:pStyle w:val="TableParagraph"/>
        <w:numPr>
          <w:ilvl w:val="0"/>
          <w:numId w:val="15"/>
        </w:numPr>
        <w:spacing w:line="218" w:lineRule="exact"/>
        <w:ind w:left="2880"/>
        <w:rPr>
          <w:sz w:val="20"/>
          <w:szCs w:val="20"/>
        </w:rPr>
      </w:pPr>
      <w:r w:rsidRPr="00C361C5">
        <w:rPr>
          <w:sz w:val="20"/>
          <w:szCs w:val="20"/>
        </w:rPr>
        <w:t>allowing long-term part-time workers to participate in 401(k) plans (except in the case of collectively bargained plans) (section 112);</w:t>
      </w:r>
    </w:p>
    <w:p w14:paraId="726E99D9" w14:textId="715D02D3" w:rsidR="006D1419" w:rsidRPr="00C361C5" w:rsidRDefault="006D1419">
      <w:pPr>
        <w:pStyle w:val="TableParagraph"/>
        <w:numPr>
          <w:ilvl w:val="0"/>
          <w:numId w:val="15"/>
        </w:numPr>
        <w:spacing w:line="218" w:lineRule="exact"/>
        <w:ind w:left="2880"/>
        <w:rPr>
          <w:sz w:val="20"/>
          <w:szCs w:val="20"/>
        </w:rPr>
      </w:pPr>
      <w:r w:rsidRPr="00C361C5">
        <w:rPr>
          <w:sz w:val="20"/>
          <w:szCs w:val="20"/>
        </w:rPr>
        <w:t>allowing in-service withdrawals for child birth and adoption expenses (section 113);</w:t>
      </w:r>
    </w:p>
    <w:p w14:paraId="181117F0" w14:textId="1842515D" w:rsidR="006D1419" w:rsidRPr="00C361C5" w:rsidRDefault="006D1419">
      <w:pPr>
        <w:pStyle w:val="TableParagraph"/>
        <w:numPr>
          <w:ilvl w:val="0"/>
          <w:numId w:val="15"/>
        </w:numPr>
        <w:spacing w:line="218" w:lineRule="exact"/>
        <w:ind w:left="2880"/>
        <w:rPr>
          <w:sz w:val="20"/>
          <w:szCs w:val="20"/>
        </w:rPr>
      </w:pPr>
      <w:r w:rsidRPr="00C361C5">
        <w:rPr>
          <w:sz w:val="20"/>
          <w:szCs w:val="20"/>
        </w:rPr>
        <w:t>allowing retirees to delay taking required minimum distributions (RMDs) until age 72, up from the current age of 70 1/2, for participants in 401(k) and other defined-contribution plans, defined-benefit pension plans (section 114).</w:t>
      </w:r>
    </w:p>
    <w:p w14:paraId="62D020A3" w14:textId="77777777" w:rsidR="006D1419" w:rsidRPr="00C361C5" w:rsidRDefault="006D1419">
      <w:pPr>
        <w:pStyle w:val="TableParagraph"/>
        <w:spacing w:line="218" w:lineRule="exact"/>
        <w:ind w:left="2880"/>
        <w:rPr>
          <w:sz w:val="20"/>
          <w:szCs w:val="20"/>
        </w:rPr>
      </w:pPr>
    </w:p>
    <w:p w14:paraId="6580EDDF" w14:textId="4E54EADC" w:rsidR="006D1419" w:rsidRPr="004270AB" w:rsidRDefault="006D1419">
      <w:pPr>
        <w:pStyle w:val="TableParagraph"/>
        <w:spacing w:before="120" w:after="120" w:line="218" w:lineRule="exact"/>
        <w:ind w:left="2880"/>
        <w:rPr>
          <w:color w:val="000000" w:themeColor="text1"/>
          <w:sz w:val="20"/>
          <w:szCs w:val="20"/>
        </w:rPr>
      </w:pPr>
      <w:r w:rsidRPr="00C361C5">
        <w:rPr>
          <w:rFonts w:eastAsia="Times New Roman"/>
          <w:sz w:val="20"/>
          <w:szCs w:val="20"/>
        </w:rPr>
        <w:t xml:space="preserve">The SECURE Act provisions are included as "DIVISION O" in </w:t>
      </w:r>
      <w:r w:rsidRPr="00C361C5">
        <w:rPr>
          <w:rStyle w:val="Emphasis"/>
          <w:rFonts w:eastAsia="Times New Roman"/>
          <w:sz w:val="20"/>
          <w:szCs w:val="20"/>
        </w:rPr>
        <w:t>HR 1865 "Further Consolidated Appropriations Act, 2020</w:t>
      </w:r>
      <w:r w:rsidRPr="00C361C5">
        <w:rPr>
          <w:rFonts w:eastAsia="Times New Roman"/>
          <w:sz w:val="20"/>
          <w:szCs w:val="20"/>
        </w:rPr>
        <w:t xml:space="preserve">." Click </w:t>
      </w:r>
      <w:hyperlink r:id="rId13" w:history="1">
        <w:r w:rsidRPr="0015505E">
          <w:rPr>
            <w:rStyle w:val="Hyperlink"/>
            <w:rFonts w:eastAsia="Times New Roman"/>
            <w:sz w:val="20"/>
            <w:szCs w:val="20"/>
          </w:rPr>
          <w:t>here</w:t>
        </w:r>
      </w:hyperlink>
      <w:r w:rsidRPr="004270AB">
        <w:rPr>
          <w:rFonts w:eastAsia="Times New Roman"/>
          <w:color w:val="000000" w:themeColor="text1"/>
          <w:sz w:val="20"/>
          <w:szCs w:val="20"/>
        </w:rPr>
        <w:t>.</w:t>
      </w:r>
    </w:p>
    <w:p w14:paraId="1E3269FE" w14:textId="77777777" w:rsidR="006D1419" w:rsidRPr="00C361C5" w:rsidRDefault="006D1419">
      <w:pPr>
        <w:pStyle w:val="TableParagraph"/>
        <w:spacing w:before="120" w:after="120" w:line="218" w:lineRule="exact"/>
        <w:ind w:left="1440"/>
        <w:rPr>
          <w:sz w:val="20"/>
          <w:szCs w:val="20"/>
          <w:u w:val="single"/>
        </w:rPr>
      </w:pPr>
      <w:r w:rsidRPr="00C361C5">
        <w:rPr>
          <w:i/>
          <w:sz w:val="20"/>
          <w:szCs w:val="20"/>
        </w:rPr>
        <w:lastRenderedPageBreak/>
        <w:t>CARES Act</w:t>
      </w:r>
    </w:p>
    <w:p w14:paraId="51534A31" w14:textId="77777777" w:rsidR="0042069C" w:rsidRPr="00C361C5" w:rsidRDefault="00446AB1" w:rsidP="0042069C">
      <w:pPr>
        <w:pStyle w:val="TableParagraph"/>
        <w:spacing w:line="218" w:lineRule="exact"/>
        <w:ind w:left="1440"/>
        <w:rPr>
          <w:sz w:val="20"/>
          <w:szCs w:val="20"/>
        </w:rPr>
      </w:pPr>
      <w:r w:rsidRPr="00C361C5">
        <w:rPr>
          <w:sz w:val="20"/>
          <w:szCs w:val="20"/>
        </w:rPr>
        <w:t>The following is a list of items relating to CARES act that may result in subsequent event considerations:</w:t>
      </w:r>
    </w:p>
    <w:p w14:paraId="014F0300" w14:textId="49DC257E" w:rsidR="00446AB1" w:rsidRPr="00C361C5" w:rsidRDefault="00446AB1" w:rsidP="001129E7">
      <w:pPr>
        <w:pStyle w:val="TableParagraph"/>
        <w:spacing w:line="218" w:lineRule="exact"/>
        <w:ind w:left="1440"/>
        <w:rPr>
          <w:sz w:val="20"/>
          <w:szCs w:val="20"/>
        </w:rPr>
      </w:pPr>
    </w:p>
    <w:p w14:paraId="0F18F0EB" w14:textId="4A91C07A" w:rsidR="006D1419" w:rsidRPr="00C361C5" w:rsidRDefault="006D1419" w:rsidP="001129E7">
      <w:pPr>
        <w:pStyle w:val="TableParagraph"/>
        <w:numPr>
          <w:ilvl w:val="0"/>
          <w:numId w:val="23"/>
        </w:numPr>
        <w:spacing w:line="218" w:lineRule="exact"/>
        <w:rPr>
          <w:sz w:val="20"/>
          <w:szCs w:val="20"/>
        </w:rPr>
      </w:pPr>
      <w:r w:rsidRPr="00C361C5">
        <w:rPr>
          <w:sz w:val="20"/>
          <w:szCs w:val="20"/>
        </w:rPr>
        <w:t xml:space="preserve">Changes to the plan due to the CARES Act, either by plan amendment or </w:t>
      </w:r>
      <w:r w:rsidR="0042069C" w:rsidRPr="00C361C5">
        <w:rPr>
          <w:sz w:val="20"/>
          <w:szCs w:val="20"/>
        </w:rPr>
        <w:t xml:space="preserve">that </w:t>
      </w:r>
      <w:r w:rsidRPr="00C361C5">
        <w:rPr>
          <w:sz w:val="20"/>
          <w:szCs w:val="20"/>
        </w:rPr>
        <w:t>were placed in operation without amending the plan, such as the following:</w:t>
      </w:r>
    </w:p>
    <w:p w14:paraId="4ADF3153" w14:textId="5491D918" w:rsidR="006D1419" w:rsidRPr="00C361C5" w:rsidRDefault="006D1419">
      <w:pPr>
        <w:pStyle w:val="TableParagraph"/>
        <w:numPr>
          <w:ilvl w:val="0"/>
          <w:numId w:val="15"/>
        </w:numPr>
        <w:spacing w:line="218" w:lineRule="exact"/>
        <w:ind w:left="2880"/>
        <w:rPr>
          <w:sz w:val="20"/>
          <w:szCs w:val="20"/>
        </w:rPr>
      </w:pPr>
      <w:r w:rsidRPr="00C361C5">
        <w:rPr>
          <w:sz w:val="20"/>
          <w:szCs w:val="20"/>
        </w:rPr>
        <w:t>allowing participants to take a coronavirus-related distribution of up to $100,000 (not to exceed the participant’s account balance) from their retirement plan without a 10% early withdrawal penalty. Eligible distributions can be taken up to December 31, 2020. Coronavirus-related distributions may be repaid within three years. The plan administrator may rely on an employee's certification that the employee satisfies the conditions for a coronavirus-related distribution. (Sec. 2202. Special rules for use of retirement funds.)</w:t>
      </w:r>
    </w:p>
    <w:p w14:paraId="6F7421B4" w14:textId="7A424036" w:rsidR="006D1419" w:rsidRPr="00C361C5" w:rsidRDefault="006D1419">
      <w:pPr>
        <w:pStyle w:val="TableParagraph"/>
        <w:numPr>
          <w:ilvl w:val="0"/>
          <w:numId w:val="15"/>
        </w:numPr>
        <w:spacing w:line="218" w:lineRule="exact"/>
        <w:ind w:left="2880"/>
        <w:rPr>
          <w:rFonts w:eastAsia="Times New Roman"/>
          <w:sz w:val="20"/>
          <w:szCs w:val="20"/>
        </w:rPr>
      </w:pPr>
      <w:r w:rsidRPr="00C361C5">
        <w:rPr>
          <w:sz w:val="20"/>
          <w:szCs w:val="20"/>
        </w:rPr>
        <w:t>allowing participants</w:t>
      </w:r>
      <w:r w:rsidRPr="00C361C5">
        <w:rPr>
          <w:rFonts w:eastAsia="Times New Roman"/>
          <w:sz w:val="20"/>
          <w:szCs w:val="20"/>
        </w:rPr>
        <w:t xml:space="preserve"> to borrow up to $100,000 from qualified plans</w:t>
      </w:r>
      <w:r w:rsidR="005F4DD7" w:rsidRPr="00C361C5">
        <w:rPr>
          <w:rFonts w:eastAsia="Times New Roman"/>
          <w:sz w:val="20"/>
          <w:szCs w:val="20"/>
        </w:rPr>
        <w:t xml:space="preserve">—an </w:t>
      </w:r>
      <w:r w:rsidRPr="00C361C5">
        <w:rPr>
          <w:rFonts w:eastAsia="Times New Roman"/>
          <w:sz w:val="20"/>
          <w:szCs w:val="20"/>
        </w:rPr>
        <w:t>increase from $50,000 previously allowed under Internal Revenue Code section 72(p)</w:t>
      </w:r>
      <w:r w:rsidR="005F4DD7" w:rsidRPr="00C361C5">
        <w:rPr>
          <w:rFonts w:eastAsia="Times New Roman"/>
          <w:sz w:val="20"/>
          <w:szCs w:val="20"/>
        </w:rPr>
        <w:t xml:space="preserve">—for </w:t>
      </w:r>
      <w:r w:rsidRPr="00C361C5">
        <w:rPr>
          <w:rFonts w:eastAsia="Times New Roman"/>
          <w:sz w:val="20"/>
          <w:szCs w:val="20"/>
        </w:rPr>
        <w:t>loans made from March 27, 2020 through September 22, 2020, and repayment can be delayed. (Sec. 2202. Special rules for use of retirement funds.)</w:t>
      </w:r>
    </w:p>
    <w:p w14:paraId="553DED73" w14:textId="5AA6574B" w:rsidR="006D1419" w:rsidRPr="00C361C5" w:rsidRDefault="006D1419">
      <w:pPr>
        <w:pStyle w:val="TableParagraph"/>
        <w:numPr>
          <w:ilvl w:val="0"/>
          <w:numId w:val="15"/>
        </w:numPr>
        <w:spacing w:line="218" w:lineRule="exact"/>
        <w:ind w:left="2880"/>
        <w:rPr>
          <w:rFonts w:eastAsia="Times New Roman"/>
          <w:sz w:val="20"/>
          <w:szCs w:val="20"/>
          <w:lang w:bidi="ar-SA"/>
        </w:rPr>
      </w:pPr>
      <w:r w:rsidRPr="00C361C5">
        <w:rPr>
          <w:rFonts w:eastAsia="Times New Roman"/>
          <w:sz w:val="20"/>
          <w:szCs w:val="20"/>
          <w:lang w:bidi="ar-SA"/>
        </w:rPr>
        <w:t>allowing suspension of loan payment due March 27, 2020 through December 31, 2020 for up to one year</w:t>
      </w:r>
      <w:r w:rsidR="00835551" w:rsidRPr="00C361C5">
        <w:rPr>
          <w:rFonts w:eastAsia="Times New Roman"/>
          <w:sz w:val="20"/>
          <w:szCs w:val="20"/>
          <w:lang w:bidi="ar-SA"/>
        </w:rPr>
        <w:t>.</w:t>
      </w:r>
      <w:r w:rsidRPr="00C361C5">
        <w:rPr>
          <w:rFonts w:eastAsia="Times New Roman"/>
          <w:sz w:val="20"/>
          <w:szCs w:val="20"/>
          <w:lang w:bidi="ar-SA"/>
        </w:rPr>
        <w:t xml:space="preserve"> (section 2202(b)(2))</w:t>
      </w:r>
    </w:p>
    <w:p w14:paraId="43CB46BE" w14:textId="3A6FC5DE" w:rsidR="006D1419" w:rsidRPr="00C361C5" w:rsidRDefault="006D1419">
      <w:pPr>
        <w:pStyle w:val="TableParagraph"/>
        <w:numPr>
          <w:ilvl w:val="0"/>
          <w:numId w:val="15"/>
        </w:numPr>
        <w:spacing w:line="218" w:lineRule="exact"/>
        <w:ind w:left="2880"/>
        <w:rPr>
          <w:rFonts w:eastAsia="Times New Roman"/>
          <w:sz w:val="20"/>
          <w:szCs w:val="20"/>
          <w:lang w:bidi="ar-SA"/>
        </w:rPr>
      </w:pPr>
      <w:r w:rsidRPr="00C361C5">
        <w:rPr>
          <w:rFonts w:eastAsia="Times New Roman"/>
          <w:sz w:val="20"/>
          <w:szCs w:val="20"/>
          <w:lang w:bidi="ar-SA"/>
        </w:rPr>
        <w:t>allowing suspension of 2020 required minimum distributions</w:t>
      </w:r>
      <w:r w:rsidR="00835551" w:rsidRPr="00C361C5">
        <w:rPr>
          <w:rFonts w:eastAsia="Times New Roman"/>
          <w:sz w:val="20"/>
          <w:szCs w:val="20"/>
          <w:lang w:bidi="ar-SA"/>
        </w:rPr>
        <w:t>.</w:t>
      </w:r>
      <w:r w:rsidRPr="00C361C5">
        <w:rPr>
          <w:rFonts w:eastAsia="Times New Roman"/>
          <w:sz w:val="20"/>
          <w:szCs w:val="20"/>
          <w:lang w:bidi="ar-SA"/>
        </w:rPr>
        <w:t xml:space="preserve"> (s</w:t>
      </w:r>
      <w:r w:rsidRPr="00C361C5">
        <w:rPr>
          <w:rStyle w:val="Emphasis"/>
          <w:bCs/>
          <w:sz w:val="20"/>
          <w:szCs w:val="20"/>
          <w:shd w:val="clear" w:color="auto" w:fill="FFFFFF"/>
        </w:rPr>
        <w:t>ection</w:t>
      </w:r>
      <w:r w:rsidRPr="00C361C5">
        <w:rPr>
          <w:sz w:val="20"/>
          <w:szCs w:val="20"/>
          <w:shd w:val="clear" w:color="auto" w:fill="FFFFFF"/>
        </w:rPr>
        <w:t> 2203)</w:t>
      </w:r>
    </w:p>
    <w:p w14:paraId="6865CB6D" w14:textId="77777777" w:rsidR="006D1419" w:rsidRPr="004270AB" w:rsidRDefault="006D1419">
      <w:pPr>
        <w:ind w:left="2160"/>
        <w:rPr>
          <w:rFonts w:ascii="Arial" w:eastAsia="Times New Roman" w:hAnsi="Arial" w:cs="Arial"/>
          <w:color w:val="000000"/>
          <w:sz w:val="20"/>
          <w:szCs w:val="20"/>
          <w:lang w:bidi="en-US"/>
        </w:rPr>
      </w:pPr>
    </w:p>
    <w:p w14:paraId="2439FDB9" w14:textId="6D06A585" w:rsidR="006D1419" w:rsidRPr="004270AB" w:rsidRDefault="006D1419">
      <w:pPr>
        <w:ind w:left="2880"/>
        <w:rPr>
          <w:rFonts w:ascii="Arial" w:eastAsia="Times New Roman" w:hAnsi="Arial" w:cs="Arial"/>
          <w:color w:val="000000"/>
          <w:sz w:val="20"/>
          <w:szCs w:val="20"/>
          <w:lang w:bidi="en-US"/>
        </w:rPr>
      </w:pPr>
      <w:r w:rsidRPr="004270AB">
        <w:rPr>
          <w:rFonts w:ascii="Arial" w:eastAsia="Times New Roman" w:hAnsi="Arial" w:cs="Arial"/>
          <w:color w:val="000000"/>
          <w:sz w:val="20"/>
          <w:szCs w:val="20"/>
          <w:lang w:bidi="en-US"/>
        </w:rPr>
        <w:t xml:space="preserve">Click </w:t>
      </w:r>
      <w:hyperlink r:id="rId14" w:history="1">
        <w:r w:rsidRPr="004270AB">
          <w:rPr>
            <w:rStyle w:val="Hyperlink"/>
            <w:rFonts w:ascii="Arial" w:eastAsia="Times New Roman" w:hAnsi="Arial" w:cs="Arial"/>
            <w:sz w:val="20"/>
            <w:szCs w:val="20"/>
            <w:lang w:bidi="en-US"/>
          </w:rPr>
          <w:t>here</w:t>
        </w:r>
      </w:hyperlink>
      <w:r w:rsidRPr="004270AB">
        <w:rPr>
          <w:rFonts w:ascii="Arial" w:eastAsia="Times New Roman" w:hAnsi="Arial" w:cs="Arial"/>
          <w:color w:val="000000"/>
          <w:sz w:val="20"/>
          <w:szCs w:val="20"/>
          <w:lang w:bidi="en-US"/>
        </w:rPr>
        <w:t xml:space="preserve"> for full text of the CARES Act.</w:t>
      </w:r>
    </w:p>
    <w:p w14:paraId="0F5C86A1" w14:textId="6BA5852F" w:rsidR="006D1419" w:rsidRPr="002D51B6" w:rsidRDefault="006D1419" w:rsidP="009D6371">
      <w:pPr>
        <w:rPr>
          <w:rFonts w:ascii="Arial" w:hAnsi="Arial" w:cs="Arial"/>
          <w:sz w:val="20"/>
          <w:szCs w:val="20"/>
        </w:rPr>
      </w:pPr>
    </w:p>
    <w:p w14:paraId="706B9305" w14:textId="1E495A42" w:rsidR="006D1419" w:rsidRPr="001129E7" w:rsidRDefault="006D1419" w:rsidP="00326ACF">
      <w:pPr>
        <w:pStyle w:val="TableParagraph"/>
        <w:spacing w:after="120" w:line="218" w:lineRule="exact"/>
        <w:rPr>
          <w:rFonts w:ascii="Roboto Thin" w:hAnsi="Roboto Thin"/>
          <w:i/>
          <w:sz w:val="20"/>
          <w:szCs w:val="20"/>
        </w:rPr>
      </w:pPr>
      <w:r w:rsidRPr="00291D56">
        <w:rPr>
          <w:rFonts w:ascii="Roboto Thin" w:hAnsi="Roboto Thin"/>
          <w:i/>
          <w:color w:val="365F91"/>
          <w:sz w:val="24"/>
          <w:szCs w:val="24"/>
        </w:rPr>
        <w:t>Going concern</w:t>
      </w:r>
    </w:p>
    <w:p w14:paraId="69F409A5" w14:textId="059CF9EC" w:rsidR="006D1419" w:rsidRPr="00C361C5" w:rsidRDefault="00F85D6F" w:rsidP="00326ACF">
      <w:pPr>
        <w:pStyle w:val="TableParagraph"/>
        <w:numPr>
          <w:ilvl w:val="0"/>
          <w:numId w:val="20"/>
        </w:numPr>
        <w:spacing w:before="120" w:line="218" w:lineRule="exact"/>
        <w:rPr>
          <w:sz w:val="20"/>
          <w:szCs w:val="20"/>
        </w:rPr>
      </w:pPr>
      <w:r w:rsidRPr="00C361C5">
        <w:rPr>
          <w:sz w:val="20"/>
          <w:szCs w:val="20"/>
        </w:rPr>
        <w:t xml:space="preserve">Did management consider whether </w:t>
      </w:r>
      <w:r w:rsidR="006D1419" w:rsidRPr="00C361C5">
        <w:rPr>
          <w:sz w:val="20"/>
          <w:szCs w:val="20"/>
        </w:rPr>
        <w:t>there is substantial doubt about the plan's ability to continue as a going concern</w:t>
      </w:r>
      <w:r w:rsidR="00521E2B" w:rsidRPr="00C361C5">
        <w:rPr>
          <w:sz w:val="20"/>
          <w:szCs w:val="20"/>
        </w:rPr>
        <w:t>, including the plan sponsor's ability to continue as a going concern and its ability to co</w:t>
      </w:r>
      <w:r w:rsidR="009D5F82" w:rsidRPr="00C361C5">
        <w:rPr>
          <w:sz w:val="20"/>
          <w:szCs w:val="20"/>
        </w:rPr>
        <w:t>ntinue to fund the plan</w:t>
      </w:r>
      <w:r w:rsidR="006D1419" w:rsidRPr="00C361C5">
        <w:rPr>
          <w:sz w:val="20"/>
          <w:szCs w:val="20"/>
        </w:rPr>
        <w:t>?</w:t>
      </w:r>
    </w:p>
    <w:p w14:paraId="6CF8811A" w14:textId="2DE255F0" w:rsidR="006D1419" w:rsidRPr="00C361C5" w:rsidRDefault="006D1419" w:rsidP="009D5F82">
      <w:pPr>
        <w:pStyle w:val="TableParagraph"/>
        <w:spacing w:line="218" w:lineRule="exact"/>
        <w:ind w:left="360"/>
        <w:rPr>
          <w:sz w:val="20"/>
          <w:szCs w:val="20"/>
        </w:rPr>
      </w:pPr>
    </w:p>
    <w:p w14:paraId="242B7278" w14:textId="76C6EF5A" w:rsidR="00AF002C" w:rsidRPr="00C361C5" w:rsidRDefault="00472413" w:rsidP="00AF002C">
      <w:pPr>
        <w:pStyle w:val="TableParagraph"/>
        <w:spacing w:line="218" w:lineRule="exact"/>
        <w:ind w:left="1080"/>
        <w:rPr>
          <w:sz w:val="20"/>
          <w:szCs w:val="20"/>
        </w:rPr>
      </w:pPr>
      <w:r w:rsidRPr="00C361C5">
        <w:rPr>
          <w:sz w:val="20"/>
          <w:szCs w:val="20"/>
        </w:rPr>
        <w:t>FASB ASC 205</w:t>
      </w:r>
      <w:r w:rsidRPr="00C361C5">
        <w:rPr>
          <w:rFonts w:ascii="Cambria Math" w:hAnsi="Cambria Math" w:cs="Cambria Math"/>
          <w:sz w:val="20"/>
          <w:szCs w:val="20"/>
        </w:rPr>
        <w:t>‐</w:t>
      </w:r>
      <w:r w:rsidRPr="00C361C5">
        <w:rPr>
          <w:sz w:val="20"/>
          <w:szCs w:val="20"/>
        </w:rPr>
        <w:t xml:space="preserve">40 requires management to evaluate an entity’s ability to continue as a going concern within one year after the date the financial statements are issued (or available to be issued, when applicable). </w:t>
      </w:r>
      <w:r w:rsidR="00307E21" w:rsidRPr="00C361C5">
        <w:rPr>
          <w:sz w:val="20"/>
          <w:szCs w:val="20"/>
        </w:rPr>
        <w:t xml:space="preserve">(See </w:t>
      </w:r>
      <w:r w:rsidR="006F42A6" w:rsidRPr="00C361C5">
        <w:rPr>
          <w:sz w:val="20"/>
          <w:szCs w:val="20"/>
        </w:rPr>
        <w:t>“Going concern” bullet point under “Special audit considerations”</w:t>
      </w:r>
      <w:r w:rsidR="009E7CFC" w:rsidRPr="00C361C5">
        <w:rPr>
          <w:sz w:val="20"/>
          <w:szCs w:val="20"/>
        </w:rPr>
        <w:t xml:space="preserve"> for additional detail on management’s responsibilities.</w:t>
      </w:r>
      <w:r w:rsidR="006F42A6" w:rsidRPr="00C361C5">
        <w:rPr>
          <w:sz w:val="20"/>
          <w:szCs w:val="20"/>
        </w:rPr>
        <w:t xml:space="preserve">) </w:t>
      </w:r>
      <w:r w:rsidRPr="00C361C5">
        <w:rPr>
          <w:sz w:val="20"/>
          <w:szCs w:val="20"/>
        </w:rPr>
        <w:t>Substantial doubt about an entity’s ability to continue as a going concern exists when conditions and events, considered in the aggregate, indicate that it is probable that the entity will be unable to meet its obligations as they become due within one year after the date that the financial statements are issued (or within one year after the date that the financial statements are available to be issued when applicable). Disclosures in the notes to the financial statements are required if management concludes that substantial doubt exists or that its plans alleviate that substantial doubt.</w:t>
      </w:r>
    </w:p>
    <w:p w14:paraId="0D0D9B57" w14:textId="77777777" w:rsidR="00AF002C" w:rsidRPr="009C1B93" w:rsidRDefault="00AF002C" w:rsidP="00AF002C">
      <w:pPr>
        <w:pStyle w:val="TableParagraph"/>
        <w:spacing w:line="218" w:lineRule="exact"/>
        <w:ind w:left="1080"/>
        <w:rPr>
          <w:sz w:val="20"/>
          <w:szCs w:val="20"/>
        </w:rPr>
      </w:pPr>
    </w:p>
    <w:p w14:paraId="77FE043D" w14:textId="77777777" w:rsidR="006957A8" w:rsidRPr="001129E7" w:rsidRDefault="006957A8" w:rsidP="006957A8">
      <w:pPr>
        <w:rPr>
          <w:rFonts w:ascii="Roboto Thin" w:hAnsi="Roboto Thin" w:cs="Arial"/>
          <w:sz w:val="32"/>
          <w:szCs w:val="32"/>
        </w:rPr>
      </w:pPr>
      <w:r w:rsidRPr="001129E7">
        <w:rPr>
          <w:rFonts w:ascii="Roboto Thin" w:hAnsi="Roboto Thin" w:cs="Arial"/>
          <w:color w:val="365F91"/>
          <w:sz w:val="32"/>
          <w:szCs w:val="32"/>
        </w:rPr>
        <w:t>Examples of financial statement disclosures</w:t>
      </w:r>
    </w:p>
    <w:p w14:paraId="66F585B4" w14:textId="77777777" w:rsidR="006957A8" w:rsidRPr="002D51B6" w:rsidRDefault="006957A8" w:rsidP="006957A8">
      <w:pPr>
        <w:ind w:left="720"/>
        <w:rPr>
          <w:rFonts w:ascii="Arial" w:hAnsi="Arial" w:cs="Arial"/>
          <w:color w:val="000000"/>
          <w:sz w:val="20"/>
          <w:szCs w:val="20"/>
        </w:rPr>
      </w:pPr>
    </w:p>
    <w:p w14:paraId="741739CE" w14:textId="77777777" w:rsidR="006957A8" w:rsidRPr="002D51B6" w:rsidRDefault="006957A8" w:rsidP="00291D56">
      <w:pPr>
        <w:rPr>
          <w:rFonts w:ascii="Arial" w:hAnsi="Arial" w:cs="Arial"/>
          <w:sz w:val="20"/>
          <w:szCs w:val="20"/>
        </w:rPr>
      </w:pPr>
      <w:r w:rsidRPr="002D51B6">
        <w:rPr>
          <w:rFonts w:ascii="Arial" w:hAnsi="Arial" w:cs="Arial"/>
          <w:color w:val="000000" w:themeColor="text1"/>
          <w:sz w:val="20"/>
          <w:szCs w:val="20"/>
        </w:rPr>
        <w:t xml:space="preserve">The SEC Form 11-K Employee Stock Plan Annual Report database for annual report filings of employee stock purchase, savings and similar plans is an excellent source for example financial statement presentation and related note disclosures for employee benefit plans. (Note that these financial statements may contain some disclosures that are not necessary for non-SEC plans; however, for the purposes discussed here, this can be a useful tool.) Utilize the "Search Full-Text of Form </w:t>
      </w:r>
      <w:r w:rsidRPr="00E011CF">
        <w:rPr>
          <w:rFonts w:ascii="Arial" w:hAnsi="Arial" w:cs="Arial"/>
          <w:sz w:val="20"/>
          <w:szCs w:val="20"/>
        </w:rPr>
        <w:t xml:space="preserve">11-K" search page and enter "COVID", "SECURE Act", CARES Act” or other text into the "Search for Text" field. This will </w:t>
      </w:r>
      <w:r w:rsidRPr="002D51B6">
        <w:rPr>
          <w:rFonts w:ascii="Arial" w:hAnsi="Arial" w:cs="Arial"/>
          <w:color w:val="000000" w:themeColor="text1"/>
          <w:sz w:val="20"/>
          <w:szCs w:val="20"/>
        </w:rPr>
        <w:t xml:space="preserve">result in a listing of SEC Form 11-K plan filings with related disclosures. </w:t>
      </w:r>
      <w:hyperlink r:id="rId15" w:history="1">
        <w:r w:rsidRPr="0015505E">
          <w:rPr>
            <w:rStyle w:val="Hyperlink"/>
            <w:rFonts w:ascii="Arial" w:hAnsi="Arial" w:cs="Arial"/>
            <w:sz w:val="20"/>
            <w:szCs w:val="20"/>
          </w:rPr>
          <w:t>Click here</w:t>
        </w:r>
      </w:hyperlink>
      <w:r w:rsidRPr="002D51B6">
        <w:rPr>
          <w:rFonts w:ascii="Arial" w:hAnsi="Arial" w:cs="Arial"/>
          <w:color w:val="000000" w:themeColor="text1"/>
          <w:sz w:val="20"/>
          <w:szCs w:val="20"/>
        </w:rPr>
        <w:t xml:space="preserve"> for the SEC Form 11-K Employee Stock Plan Annual Report database.</w:t>
      </w:r>
      <w:r w:rsidRPr="002D51B6">
        <w:rPr>
          <w:rFonts w:ascii="Arial" w:hAnsi="Arial" w:cs="Arial"/>
          <w:color w:val="000000"/>
          <w:sz w:val="20"/>
          <w:szCs w:val="20"/>
        </w:rPr>
        <w:br/>
      </w:r>
    </w:p>
    <w:p w14:paraId="766B509D" w14:textId="77777777" w:rsidR="006D1419" w:rsidRPr="002D51B6" w:rsidRDefault="006D1419" w:rsidP="006D1419">
      <w:pPr>
        <w:rPr>
          <w:rFonts w:ascii="Arial" w:hAnsi="Arial" w:cs="Arial"/>
          <w:sz w:val="20"/>
          <w:szCs w:val="20"/>
        </w:rPr>
      </w:pPr>
    </w:p>
    <w:tbl>
      <w:tblPr>
        <w:tblStyle w:val="TableGrid"/>
        <w:tblW w:w="10080" w:type="dxa"/>
        <w:jc w:val="center"/>
        <w:tblLook w:val="04A0" w:firstRow="1" w:lastRow="0" w:firstColumn="1" w:lastColumn="0" w:noHBand="0" w:noVBand="1"/>
      </w:tblPr>
      <w:tblGrid>
        <w:gridCol w:w="10080"/>
      </w:tblGrid>
      <w:tr w:rsidR="006D1419" w:rsidRPr="002D51B6" w14:paraId="17AF22E7" w14:textId="77777777" w:rsidTr="00931AB8">
        <w:trPr>
          <w:trHeight w:val="576"/>
          <w:jc w:val="center"/>
        </w:trPr>
        <w:tc>
          <w:tcPr>
            <w:tcW w:w="10080" w:type="dxa"/>
          </w:tcPr>
          <w:p w14:paraId="0E0097B1" w14:textId="43CF413A" w:rsidR="006D1419" w:rsidRPr="002D51B6" w:rsidRDefault="006D1419" w:rsidP="00931AB8">
            <w:pPr>
              <w:pStyle w:val="TableParagraph"/>
              <w:spacing w:before="120" w:after="120" w:line="218" w:lineRule="exact"/>
              <w:rPr>
                <w:i/>
                <w:sz w:val="20"/>
                <w:szCs w:val="20"/>
              </w:rPr>
            </w:pPr>
            <w:r w:rsidRPr="002D51B6">
              <w:rPr>
                <w:i/>
                <w:sz w:val="20"/>
                <w:szCs w:val="20"/>
              </w:rPr>
              <w:t>Notes or comments</w:t>
            </w:r>
            <w:r w:rsidR="00183AB3" w:rsidRPr="002D51B6">
              <w:rPr>
                <w:i/>
                <w:sz w:val="20"/>
                <w:szCs w:val="20"/>
              </w:rPr>
              <w:t>:</w:t>
            </w:r>
          </w:p>
          <w:p w14:paraId="7FBF7821" w14:textId="77777777" w:rsidR="00430D7C" w:rsidRPr="002D51B6" w:rsidRDefault="00430D7C" w:rsidP="00931AB8">
            <w:pPr>
              <w:pStyle w:val="TableParagraph"/>
              <w:spacing w:before="120" w:after="120" w:line="218" w:lineRule="exact"/>
              <w:rPr>
                <w:i/>
                <w:sz w:val="20"/>
                <w:szCs w:val="20"/>
              </w:rPr>
            </w:pPr>
          </w:p>
          <w:p w14:paraId="611FAFFB" w14:textId="77777777" w:rsidR="006D1419" w:rsidRPr="002D51B6" w:rsidRDefault="006D1419" w:rsidP="00931AB8">
            <w:pPr>
              <w:pStyle w:val="TableParagraph"/>
              <w:spacing w:before="120" w:after="120" w:line="218" w:lineRule="exact"/>
              <w:rPr>
                <w:i/>
                <w:sz w:val="20"/>
                <w:szCs w:val="20"/>
                <w:u w:val="single"/>
              </w:rPr>
            </w:pPr>
          </w:p>
        </w:tc>
      </w:tr>
    </w:tbl>
    <w:p w14:paraId="57B29F1A" w14:textId="77777777" w:rsidR="00430D7C" w:rsidRPr="00D96825" w:rsidRDefault="00430D7C" w:rsidP="00015433">
      <w:pPr>
        <w:rPr>
          <w:rFonts w:ascii="Arial" w:hAnsi="Arial" w:cs="Arial"/>
          <w:sz w:val="20"/>
          <w:szCs w:val="20"/>
          <w:lang w:bidi="en-US"/>
        </w:rPr>
      </w:pPr>
    </w:p>
    <w:p w14:paraId="3621313A" w14:textId="6ABD81B8" w:rsidR="00015433" w:rsidRPr="00291D56" w:rsidRDefault="00015433" w:rsidP="00015433">
      <w:pPr>
        <w:rPr>
          <w:rFonts w:ascii="Roboto Thin" w:hAnsi="Roboto Thin" w:cs="Arial"/>
          <w:color w:val="365F91"/>
          <w:sz w:val="40"/>
          <w:szCs w:val="40"/>
          <w:lang w:bidi="en-US"/>
        </w:rPr>
      </w:pPr>
      <w:r w:rsidRPr="00291D56">
        <w:rPr>
          <w:rFonts w:ascii="Roboto Thin" w:hAnsi="Roboto Thin" w:cs="Arial"/>
          <w:color w:val="365F91"/>
          <w:sz w:val="40"/>
          <w:szCs w:val="40"/>
          <w:lang w:bidi="en-US"/>
        </w:rPr>
        <w:t xml:space="preserve">Additional AICPA resources </w:t>
      </w:r>
    </w:p>
    <w:p w14:paraId="326A5E5B" w14:textId="77777777" w:rsidR="00015433" w:rsidRPr="002D51B6" w:rsidRDefault="00015433" w:rsidP="00015433">
      <w:pPr>
        <w:rPr>
          <w:rFonts w:ascii="Arial" w:hAnsi="Arial" w:cs="Arial"/>
          <w:sz w:val="20"/>
          <w:szCs w:val="20"/>
        </w:rPr>
      </w:pPr>
    </w:p>
    <w:p w14:paraId="44E84A7D" w14:textId="116F4A0F" w:rsidR="007A52F9" w:rsidRPr="002D51B6" w:rsidRDefault="007A52F9" w:rsidP="007A52F9">
      <w:pPr>
        <w:pStyle w:val="ListParagraph"/>
        <w:rPr>
          <w:rFonts w:cs="Arial"/>
          <w:szCs w:val="20"/>
        </w:rPr>
      </w:pPr>
      <w:r w:rsidRPr="002D51B6">
        <w:rPr>
          <w:rFonts w:cs="Arial"/>
          <w:szCs w:val="20"/>
        </w:rPr>
        <w:t>AICPA Journal of Accountancy article</w:t>
      </w:r>
      <w:r w:rsidR="00D54D7E" w:rsidRPr="002D51B6">
        <w:rPr>
          <w:rFonts w:cs="Arial"/>
          <w:szCs w:val="20"/>
        </w:rPr>
        <w:t>s</w:t>
      </w:r>
    </w:p>
    <w:p w14:paraId="7578DC57" w14:textId="38A9ECF8" w:rsidR="00FB4E7F" w:rsidRPr="002D51B6" w:rsidRDefault="00FB4E7F" w:rsidP="007A52F9">
      <w:pPr>
        <w:pStyle w:val="ListParagraph"/>
        <w:rPr>
          <w:rFonts w:cs="Arial"/>
          <w:szCs w:val="20"/>
        </w:rPr>
      </w:pPr>
    </w:p>
    <w:p w14:paraId="16CF9FFB" w14:textId="7A6F2DA8" w:rsidR="00AB14A0" w:rsidRPr="002D51B6" w:rsidRDefault="00075A96" w:rsidP="00326ACF">
      <w:pPr>
        <w:pStyle w:val="ListParagraph"/>
        <w:numPr>
          <w:ilvl w:val="0"/>
          <w:numId w:val="20"/>
        </w:numPr>
        <w:rPr>
          <w:rFonts w:cs="Arial"/>
          <w:szCs w:val="20"/>
        </w:rPr>
      </w:pPr>
      <w:hyperlink r:id="rId16" w:history="1">
        <w:r w:rsidR="00FB4E7F" w:rsidRPr="002D51B6">
          <w:rPr>
            <w:rStyle w:val="Hyperlink"/>
            <w:rFonts w:cs="Arial"/>
            <w:i/>
            <w:szCs w:val="20"/>
          </w:rPr>
          <w:t>Pandemic considerations for EBP financial statements</w:t>
        </w:r>
      </w:hyperlink>
      <w:r w:rsidR="00FB640A">
        <w:rPr>
          <w:rFonts w:cs="Arial"/>
          <w:szCs w:val="20"/>
        </w:rPr>
        <w:t xml:space="preserve"> (</w:t>
      </w:r>
      <w:r w:rsidR="00FA228B" w:rsidRPr="002D51B6">
        <w:rPr>
          <w:rFonts w:cs="Arial"/>
          <w:szCs w:val="20"/>
        </w:rPr>
        <w:t>June 17, 2020) b</w:t>
      </w:r>
      <w:r w:rsidR="00AB14A0" w:rsidRPr="002D51B6">
        <w:rPr>
          <w:rFonts w:cs="Arial"/>
          <w:szCs w:val="20"/>
        </w:rPr>
        <w:t xml:space="preserve">y Ken </w:t>
      </w:r>
      <w:proofErr w:type="spellStart"/>
      <w:r w:rsidR="00AB14A0" w:rsidRPr="002D51B6">
        <w:rPr>
          <w:rFonts w:cs="Arial"/>
          <w:szCs w:val="20"/>
        </w:rPr>
        <w:t>Tysiac</w:t>
      </w:r>
      <w:proofErr w:type="spellEnd"/>
      <w:r w:rsidR="00AB14A0" w:rsidRPr="002D51B6">
        <w:rPr>
          <w:rFonts w:cs="Arial"/>
          <w:szCs w:val="20"/>
        </w:rPr>
        <w:t xml:space="preserve"> </w:t>
      </w:r>
      <w:r w:rsidR="00297CB5" w:rsidRPr="002D51B6">
        <w:rPr>
          <w:rFonts w:cs="Arial"/>
          <w:szCs w:val="20"/>
        </w:rPr>
        <w:t>(</w:t>
      </w:r>
      <w:r w:rsidR="00AB14A0" w:rsidRPr="002D51B6">
        <w:rPr>
          <w:rFonts w:cs="Arial"/>
          <w:szCs w:val="20"/>
        </w:rPr>
        <w:t xml:space="preserve">interviews with </w:t>
      </w:r>
      <w:r w:rsidR="00665891" w:rsidRPr="002D51B6">
        <w:rPr>
          <w:rFonts w:cs="Arial"/>
          <w:szCs w:val="20"/>
        </w:rPr>
        <w:t xml:space="preserve">Lisa Todd, Moss </w:t>
      </w:r>
      <w:r w:rsidR="0055131E" w:rsidRPr="002D51B6">
        <w:rPr>
          <w:rFonts w:cs="Arial"/>
          <w:szCs w:val="20"/>
        </w:rPr>
        <w:t>Adams; David</w:t>
      </w:r>
      <w:r w:rsidR="00665891" w:rsidRPr="002D51B6">
        <w:rPr>
          <w:rFonts w:cs="Arial"/>
          <w:szCs w:val="20"/>
        </w:rPr>
        <w:t xml:space="preserve"> Torrillo, CPA/ABV, Torrillo &amp; Associates LLC; and </w:t>
      </w:r>
      <w:r w:rsidR="00297CB5" w:rsidRPr="002D51B6">
        <w:rPr>
          <w:rFonts w:cs="Arial"/>
          <w:szCs w:val="20"/>
        </w:rPr>
        <w:t xml:space="preserve">Gwen Stoute, </w:t>
      </w:r>
      <w:proofErr w:type="spellStart"/>
      <w:r w:rsidR="00297CB5" w:rsidRPr="002D51B6">
        <w:rPr>
          <w:rFonts w:cs="Arial"/>
          <w:szCs w:val="20"/>
        </w:rPr>
        <w:t>HoganTaylor</w:t>
      </w:r>
      <w:proofErr w:type="spellEnd"/>
      <w:r w:rsidR="00297CB5" w:rsidRPr="002D51B6">
        <w:rPr>
          <w:rFonts w:cs="Arial"/>
          <w:szCs w:val="20"/>
        </w:rPr>
        <w:t>)</w:t>
      </w:r>
    </w:p>
    <w:p w14:paraId="26561946" w14:textId="77777777" w:rsidR="00D47CDC" w:rsidRPr="002D51B6" w:rsidRDefault="00D47CDC" w:rsidP="00326ACF">
      <w:pPr>
        <w:pStyle w:val="ListParagraph"/>
        <w:shd w:val="clear" w:color="auto" w:fill="FFFFFF"/>
        <w:spacing w:before="100" w:beforeAutospacing="1" w:after="100" w:afterAutospacing="1"/>
        <w:outlineLvl w:val="0"/>
        <w:rPr>
          <w:rStyle w:val="Hyperlink"/>
          <w:rFonts w:eastAsia="Arial" w:cs="Arial"/>
          <w:color w:val="auto"/>
          <w:szCs w:val="20"/>
          <w:u w:val="none"/>
          <w:lang w:bidi="en-US"/>
        </w:rPr>
      </w:pPr>
    </w:p>
    <w:p w14:paraId="74B7554D" w14:textId="508C02D9" w:rsidR="00D47CDC" w:rsidRPr="002D51B6" w:rsidRDefault="00075A96" w:rsidP="00D47CDC">
      <w:pPr>
        <w:pStyle w:val="ListParagraph"/>
        <w:numPr>
          <w:ilvl w:val="0"/>
          <w:numId w:val="20"/>
        </w:numPr>
        <w:shd w:val="clear" w:color="auto" w:fill="FFFFFF"/>
        <w:spacing w:before="100" w:beforeAutospacing="1" w:after="100" w:afterAutospacing="1"/>
        <w:outlineLvl w:val="0"/>
        <w:rPr>
          <w:rFonts w:eastAsia="Arial" w:cs="Arial"/>
          <w:szCs w:val="20"/>
          <w:lang w:bidi="en-US"/>
        </w:rPr>
      </w:pPr>
      <w:hyperlink r:id="rId17" w:history="1">
        <w:r w:rsidR="00D47CDC" w:rsidRPr="002D51B6">
          <w:rPr>
            <w:rStyle w:val="Hyperlink"/>
            <w:rFonts w:cs="Arial"/>
            <w:i/>
            <w:szCs w:val="20"/>
          </w:rPr>
          <w:t>Auditing during COVID-19: 6 areas to focus on</w:t>
        </w:r>
      </w:hyperlink>
      <w:r w:rsidR="00D47CDC" w:rsidRPr="002D51B6">
        <w:rPr>
          <w:rFonts w:eastAsia="Times New Roman" w:cs="Arial"/>
          <w:color w:val="444444"/>
          <w:szCs w:val="20"/>
        </w:rPr>
        <w:t xml:space="preserve"> (May 15, 2020</w:t>
      </w:r>
      <w:r w:rsidR="00D47CDC" w:rsidRPr="002D51B6">
        <w:rPr>
          <w:rFonts w:eastAsia="Arial" w:cs="Arial"/>
          <w:szCs w:val="20"/>
          <w:lang w:bidi="en-US"/>
        </w:rPr>
        <w:t>) by Bob Dohrer, CPA, CGMA, and Carl Mayes, CPA</w:t>
      </w:r>
    </w:p>
    <w:p w14:paraId="73240257" w14:textId="77777777" w:rsidR="00D47CDC" w:rsidRPr="002D51B6" w:rsidRDefault="00D47CDC" w:rsidP="00326ACF">
      <w:pPr>
        <w:pStyle w:val="ListParagraph"/>
        <w:rPr>
          <w:rFonts w:eastAsia="Arial" w:cs="Arial"/>
          <w:szCs w:val="20"/>
          <w:lang w:bidi="en-US"/>
        </w:rPr>
      </w:pPr>
    </w:p>
    <w:p w14:paraId="49F7804E" w14:textId="77777777" w:rsidR="00D47CDC" w:rsidRPr="002D51B6" w:rsidRDefault="00075A96" w:rsidP="00D47CDC">
      <w:pPr>
        <w:pStyle w:val="ListParagraph"/>
        <w:numPr>
          <w:ilvl w:val="0"/>
          <w:numId w:val="20"/>
        </w:numPr>
        <w:shd w:val="clear" w:color="auto" w:fill="FFFFFF"/>
        <w:spacing w:before="100" w:beforeAutospacing="1" w:after="100" w:afterAutospacing="1"/>
        <w:outlineLvl w:val="0"/>
        <w:rPr>
          <w:rFonts w:eastAsia="Arial" w:cs="Arial"/>
          <w:szCs w:val="20"/>
          <w:lang w:bidi="en-US"/>
        </w:rPr>
      </w:pPr>
      <w:hyperlink r:id="rId18" w:history="1">
        <w:r w:rsidR="00D47CDC" w:rsidRPr="002D51B6">
          <w:rPr>
            <w:rStyle w:val="Hyperlink"/>
            <w:rFonts w:cs="Arial"/>
            <w:szCs w:val="20"/>
          </w:rPr>
          <w:t>C</w:t>
        </w:r>
        <w:r w:rsidR="00D47CDC" w:rsidRPr="002D51B6">
          <w:rPr>
            <w:rStyle w:val="Hyperlink"/>
            <w:rFonts w:cs="Arial"/>
            <w:i/>
            <w:szCs w:val="20"/>
          </w:rPr>
          <w:t>oronavirus concerns for ESOPs and ESOP auditors</w:t>
        </w:r>
      </w:hyperlink>
      <w:r w:rsidR="00D47CDC" w:rsidRPr="002D51B6">
        <w:rPr>
          <w:rFonts w:cs="Arial"/>
          <w:color w:val="444444"/>
          <w:szCs w:val="20"/>
        </w:rPr>
        <w:t xml:space="preserve"> (May 11, 2020) </w:t>
      </w:r>
      <w:r w:rsidR="00D47CDC" w:rsidRPr="002D51B6">
        <w:rPr>
          <w:rFonts w:eastAsia="Arial" w:cs="Arial"/>
          <w:szCs w:val="20"/>
          <w:lang w:bidi="en-US"/>
        </w:rPr>
        <w:t>by Scott Miller, CPA/ABV</w:t>
      </w:r>
    </w:p>
    <w:p w14:paraId="7EED5D5F" w14:textId="77777777" w:rsidR="00D47CDC" w:rsidRPr="002D51B6" w:rsidRDefault="00D47CDC" w:rsidP="00326ACF">
      <w:pPr>
        <w:pStyle w:val="ListParagraph"/>
        <w:shd w:val="clear" w:color="auto" w:fill="FFFFFF"/>
        <w:spacing w:before="100" w:beforeAutospacing="1" w:after="100" w:afterAutospacing="1"/>
        <w:outlineLvl w:val="0"/>
        <w:rPr>
          <w:rFonts w:eastAsia="Arial" w:cs="Arial"/>
          <w:szCs w:val="20"/>
          <w:lang w:bidi="en-US"/>
        </w:rPr>
      </w:pPr>
    </w:p>
    <w:p w14:paraId="6A2DE119" w14:textId="605DFF93" w:rsidR="00D47CDC" w:rsidRPr="002D51B6" w:rsidRDefault="00075A96" w:rsidP="00D47CDC">
      <w:pPr>
        <w:pStyle w:val="ListParagraph"/>
        <w:numPr>
          <w:ilvl w:val="0"/>
          <w:numId w:val="20"/>
        </w:numPr>
        <w:rPr>
          <w:rFonts w:eastAsia="Arial" w:cs="Arial"/>
          <w:szCs w:val="20"/>
          <w:lang w:bidi="en-US"/>
        </w:rPr>
      </w:pPr>
      <w:hyperlink r:id="rId19" w:history="1">
        <w:r w:rsidR="00D47CDC" w:rsidRPr="002D51B6">
          <w:rPr>
            <w:rStyle w:val="Hyperlink"/>
            <w:rFonts w:cs="Arial"/>
            <w:i/>
            <w:szCs w:val="20"/>
          </w:rPr>
          <w:t>Overcoming site visit limitations in the pandemic</w:t>
        </w:r>
      </w:hyperlink>
      <w:r w:rsidR="00FB640A">
        <w:rPr>
          <w:rFonts w:cs="Arial"/>
          <w:color w:val="444444"/>
          <w:szCs w:val="20"/>
        </w:rPr>
        <w:t xml:space="preserve"> (</w:t>
      </w:r>
      <w:r w:rsidR="00D47CDC" w:rsidRPr="002D51B6">
        <w:rPr>
          <w:rFonts w:eastAsia="Arial" w:cs="Arial"/>
          <w:szCs w:val="20"/>
          <w:lang w:bidi="en-US"/>
        </w:rPr>
        <w:t xml:space="preserve">May 8, 2020) by Reza </w:t>
      </w:r>
      <w:proofErr w:type="spellStart"/>
      <w:r w:rsidR="00D47CDC" w:rsidRPr="002D51B6">
        <w:rPr>
          <w:rFonts w:eastAsia="Arial" w:cs="Arial"/>
          <w:szCs w:val="20"/>
          <w:lang w:bidi="en-US"/>
        </w:rPr>
        <w:t>Mahbod</w:t>
      </w:r>
      <w:proofErr w:type="spellEnd"/>
      <w:r w:rsidR="00D47CDC" w:rsidRPr="002D51B6">
        <w:rPr>
          <w:rFonts w:eastAsia="Arial" w:cs="Arial"/>
          <w:szCs w:val="20"/>
          <w:lang w:bidi="en-US"/>
        </w:rPr>
        <w:t>, CPA, CGMA, and Mike Fredrickson, CPA</w:t>
      </w:r>
    </w:p>
    <w:p w14:paraId="0459FFDB" w14:textId="77777777" w:rsidR="00D47CDC" w:rsidRPr="004270AB" w:rsidRDefault="00D47CDC" w:rsidP="006671BC">
      <w:pPr>
        <w:pStyle w:val="ListParagraph"/>
        <w:shd w:val="clear" w:color="auto" w:fill="FFFFFF"/>
        <w:spacing w:before="100" w:beforeAutospacing="1" w:after="100" w:afterAutospacing="1"/>
        <w:outlineLvl w:val="0"/>
        <w:rPr>
          <w:rFonts w:eastAsia="Arial" w:cs="Arial"/>
          <w:szCs w:val="20"/>
          <w:lang w:bidi="en-US"/>
        </w:rPr>
      </w:pPr>
    </w:p>
    <w:p w14:paraId="1E357359" w14:textId="3308D149" w:rsidR="007A52F9" w:rsidRPr="002D51B6" w:rsidRDefault="00075A96" w:rsidP="007A52F9">
      <w:pPr>
        <w:pStyle w:val="ListParagraph"/>
        <w:numPr>
          <w:ilvl w:val="0"/>
          <w:numId w:val="20"/>
        </w:numPr>
        <w:rPr>
          <w:rFonts w:cs="Arial"/>
          <w:szCs w:val="20"/>
        </w:rPr>
      </w:pPr>
      <w:hyperlink r:id="rId20" w:history="1">
        <w:r w:rsidR="0055131E" w:rsidRPr="002D51B6">
          <w:rPr>
            <w:rStyle w:val="Hyperlink"/>
            <w:rFonts w:cs="Arial"/>
            <w:i/>
            <w:szCs w:val="20"/>
          </w:rPr>
          <w:t>Tips for auditing with changed controls during the pandemic</w:t>
        </w:r>
      </w:hyperlink>
      <w:r w:rsidR="007A52F9" w:rsidRPr="002D51B6">
        <w:rPr>
          <w:rFonts w:cs="Arial"/>
          <w:szCs w:val="20"/>
        </w:rPr>
        <w:t xml:space="preserve"> </w:t>
      </w:r>
      <w:r w:rsidR="00EF3A1D" w:rsidRPr="002D51B6">
        <w:rPr>
          <w:rFonts w:cs="Arial"/>
          <w:szCs w:val="20"/>
        </w:rPr>
        <w:t>(</w:t>
      </w:r>
      <w:r w:rsidR="00EF3A1D" w:rsidRPr="002D51B6">
        <w:rPr>
          <w:rFonts w:cs="Arial"/>
          <w:szCs w:val="20"/>
          <w:shd w:val="clear" w:color="auto" w:fill="FFFFFF"/>
        </w:rPr>
        <w:t xml:space="preserve">April 13, 2020) </w:t>
      </w:r>
      <w:r w:rsidR="007A52F9" w:rsidRPr="002D51B6">
        <w:rPr>
          <w:rFonts w:cs="Arial"/>
          <w:szCs w:val="20"/>
        </w:rPr>
        <w:t>by Bob Dohrer, CPA, CGMA, AICPA Chief Auditor).</w:t>
      </w:r>
    </w:p>
    <w:p w14:paraId="13610892" w14:textId="77777777" w:rsidR="007A52F9" w:rsidRPr="002D51B6" w:rsidRDefault="007A52F9" w:rsidP="00326ACF">
      <w:pPr>
        <w:pStyle w:val="ListParagraph"/>
        <w:rPr>
          <w:rFonts w:cs="Arial"/>
          <w:szCs w:val="20"/>
        </w:rPr>
      </w:pPr>
    </w:p>
    <w:p w14:paraId="0391C33F" w14:textId="77777777" w:rsidR="00217DAE" w:rsidRPr="002D51B6" w:rsidRDefault="00217DAE" w:rsidP="00326ACF">
      <w:pPr>
        <w:pStyle w:val="ListParagraph"/>
        <w:rPr>
          <w:rFonts w:eastAsia="Arial" w:cs="Arial"/>
          <w:lang w:bidi="en-US"/>
        </w:rPr>
      </w:pPr>
    </w:p>
    <w:p w14:paraId="44651F4D" w14:textId="77777777" w:rsidR="00DE2AA3" w:rsidRPr="006671BC" w:rsidRDefault="00DE2AA3" w:rsidP="006671BC">
      <w:pPr>
        <w:pStyle w:val="ListParagraph"/>
        <w:rPr>
          <w:rFonts w:eastAsia="Arial" w:cs="Arial"/>
          <w:lang w:bidi="en-US"/>
        </w:rPr>
      </w:pPr>
    </w:p>
    <w:p w14:paraId="59061789" w14:textId="77777777" w:rsidR="00DE2AA3" w:rsidRPr="006671BC" w:rsidRDefault="00DE2AA3" w:rsidP="006671BC">
      <w:pPr>
        <w:pStyle w:val="ListParagraph"/>
        <w:rPr>
          <w:rFonts w:eastAsia="Arial" w:cs="Arial"/>
          <w:lang w:bidi="en-US"/>
        </w:rPr>
      </w:pPr>
    </w:p>
    <w:p w14:paraId="77C9F599" w14:textId="31C3071E" w:rsidR="00802F7B" w:rsidRPr="00C361C5" w:rsidRDefault="00A06F29" w:rsidP="00D96825">
      <w:pPr>
        <w:ind w:left="14" w:hanging="14"/>
        <w:rPr>
          <w:rFonts w:cs="Arial"/>
          <w:szCs w:val="20"/>
        </w:rPr>
      </w:pPr>
      <w:r w:rsidRPr="00C361C5">
        <w:rPr>
          <w:rFonts w:ascii="Arial" w:eastAsia="Times New Roman" w:hAnsi="Arial" w:cs="Arial"/>
          <w:i/>
          <w:sz w:val="20"/>
          <w:szCs w:val="20"/>
        </w:rPr>
        <w:t>DISCLAIMER: This publication has not been approved, disapproved or otherwise acted upon by any senior technical committees of, and does not represent an official position of the American Institute of Certified Public Accountants. It is distributed with the understanding that the AICPA Employee Benefit Plan Audit Quality Center is not rendering legal, accounting or other professional services in this publication. The application and impact of laws can vary widely based on the specific facts involved. If legal advice or other expert assistance is required, the services of a competent professional should be sought.</w:t>
      </w:r>
    </w:p>
    <w:sectPr w:rsidR="00802F7B" w:rsidRPr="00C361C5" w:rsidSect="00061105">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B5CC3" w14:textId="77777777" w:rsidR="00960DA5" w:rsidRDefault="00960DA5" w:rsidP="007E2D1F">
      <w:r>
        <w:separator/>
      </w:r>
    </w:p>
  </w:endnote>
  <w:endnote w:type="continuationSeparator" w:id="0">
    <w:p w14:paraId="7C5AF379" w14:textId="77777777" w:rsidR="00960DA5" w:rsidRDefault="00960DA5" w:rsidP="007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Roboto Thin">
    <w:altName w:val="Arial"/>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30E4" w14:textId="77777777" w:rsidR="00931AB8" w:rsidRDefault="00931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97990"/>
      <w:docPartObj>
        <w:docPartGallery w:val="Page Numbers (Bottom of Page)"/>
        <w:docPartUnique/>
      </w:docPartObj>
    </w:sdtPr>
    <w:sdtEndPr>
      <w:rPr>
        <w:noProof/>
      </w:rPr>
    </w:sdtEndPr>
    <w:sdtContent>
      <w:p w14:paraId="269C4F41" w14:textId="7251B243" w:rsidR="00931AB8" w:rsidRDefault="00931AB8">
        <w:pPr>
          <w:pStyle w:val="Footer"/>
          <w:jc w:val="right"/>
        </w:pPr>
        <w:r>
          <w:fldChar w:fldCharType="begin"/>
        </w:r>
        <w:r>
          <w:instrText xml:space="preserve"> PAGE   \* MERGEFORMAT </w:instrText>
        </w:r>
        <w:r>
          <w:fldChar w:fldCharType="separate"/>
        </w:r>
        <w:r w:rsidR="00075A96">
          <w:rPr>
            <w:noProof/>
          </w:rPr>
          <w:t>6</w:t>
        </w:r>
        <w:r>
          <w:rPr>
            <w:noProof/>
          </w:rPr>
          <w:fldChar w:fldCharType="end"/>
        </w:r>
      </w:p>
    </w:sdtContent>
  </w:sdt>
  <w:p w14:paraId="6695B883" w14:textId="734E86F5" w:rsidR="00931AB8" w:rsidRDefault="00931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45E8" w14:textId="77777777" w:rsidR="00931AB8" w:rsidRDefault="00931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7FF38" w14:textId="77777777" w:rsidR="00960DA5" w:rsidRDefault="00960DA5" w:rsidP="007E2D1F">
      <w:r>
        <w:separator/>
      </w:r>
    </w:p>
  </w:footnote>
  <w:footnote w:type="continuationSeparator" w:id="0">
    <w:p w14:paraId="717B408B" w14:textId="77777777" w:rsidR="00960DA5" w:rsidRDefault="00960DA5" w:rsidP="007E2D1F">
      <w:r>
        <w:continuationSeparator/>
      </w:r>
    </w:p>
  </w:footnote>
  <w:footnote w:id="1">
    <w:p w14:paraId="20E1886C" w14:textId="559969D6" w:rsidR="00931AB8" w:rsidRPr="00C361C5" w:rsidRDefault="00931AB8">
      <w:pPr>
        <w:pStyle w:val="FootnoteText"/>
        <w:rPr>
          <w:rFonts w:ascii="Arial" w:hAnsi="Arial" w:cs="Arial"/>
          <w:sz w:val="16"/>
          <w:szCs w:val="16"/>
        </w:rPr>
      </w:pPr>
      <w:r w:rsidRPr="00C361C5">
        <w:rPr>
          <w:rStyle w:val="FootnoteReference"/>
          <w:rFonts w:ascii="Arial" w:hAnsi="Arial" w:cs="Arial"/>
          <w:sz w:val="16"/>
          <w:szCs w:val="16"/>
        </w:rPr>
        <w:footnoteRef/>
      </w:r>
      <w:r w:rsidRPr="00C361C5">
        <w:rPr>
          <w:rFonts w:ascii="Arial" w:hAnsi="Arial" w:cs="Arial"/>
          <w:sz w:val="16"/>
          <w:szCs w:val="16"/>
        </w:rPr>
        <w:t xml:space="preserve"> All AU-C sections can be found in AICPA </w:t>
      </w:r>
      <w:r w:rsidRPr="00C361C5">
        <w:rPr>
          <w:rFonts w:ascii="Arial" w:hAnsi="Arial" w:cs="Arial"/>
          <w:i/>
          <w:sz w:val="16"/>
          <w:szCs w:val="16"/>
        </w:rPr>
        <w:t>Professional Standards</w:t>
      </w:r>
      <w:r w:rsidRPr="00C361C5">
        <w:rPr>
          <w:rFonts w:ascii="Arial" w:hAnsi="Arial" w:cs="Arial"/>
          <w:sz w:val="16"/>
          <w:szCs w:val="16"/>
        </w:rPr>
        <w:t>. All references that contain a “B” designation (</w:t>
      </w:r>
      <w:r w:rsidR="0016528B" w:rsidRPr="00C361C5">
        <w:rPr>
          <w:rFonts w:ascii="Arial" w:hAnsi="Arial" w:cs="Arial"/>
          <w:sz w:val="16"/>
          <w:szCs w:val="16"/>
        </w:rPr>
        <w:t>e.g.,</w:t>
      </w:r>
      <w:r w:rsidRPr="00C361C5">
        <w:rPr>
          <w:rFonts w:ascii="Arial" w:hAnsi="Arial" w:cs="Arial"/>
          <w:sz w:val="16"/>
          <w:szCs w:val="16"/>
        </w:rPr>
        <w:t xml:space="preserve"> AU-C section 240B”) can be found in the June 1, 2020 version of the </w:t>
      </w:r>
      <w:r w:rsidRPr="00C361C5">
        <w:rPr>
          <w:rFonts w:ascii="Arial" w:hAnsi="Arial" w:cs="Arial"/>
          <w:i/>
          <w:sz w:val="16"/>
          <w:szCs w:val="16"/>
        </w:rPr>
        <w:t>Professional Standards</w:t>
      </w:r>
      <w:r w:rsidRPr="00C361C5">
        <w:rPr>
          <w:rFonts w:ascii="Arial" w:hAnsi="Arial" w:cs="Arial"/>
          <w:sz w:val="16"/>
          <w:szCs w:val="16"/>
        </w:rPr>
        <w:t xml:space="preserve"> and reflect those standards effective as of June 1, 2020,</w:t>
      </w:r>
      <w:r w:rsidR="00942458" w:rsidRPr="00C361C5">
        <w:rPr>
          <w:rFonts w:ascii="Arial" w:hAnsi="Arial" w:cs="Arial"/>
          <w:sz w:val="16"/>
          <w:szCs w:val="16"/>
        </w:rPr>
        <w:t xml:space="preserve"> </w:t>
      </w:r>
      <w:r w:rsidRPr="00C361C5">
        <w:rPr>
          <w:rFonts w:ascii="Arial" w:hAnsi="Arial" w:cs="Arial"/>
          <w:sz w:val="16"/>
          <w:szCs w:val="16"/>
        </w:rPr>
        <w:t xml:space="preserve">and have not been updated for SAS Nos. 134-140.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163A" w14:textId="77777777" w:rsidR="00931AB8" w:rsidRDefault="00931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64CAA" w14:textId="77777777" w:rsidR="00931AB8" w:rsidRDefault="00931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0992" w14:textId="52EDBF50" w:rsidR="00931AB8" w:rsidRDefault="00931AB8">
    <w:pPr>
      <w:pStyle w:val="Header"/>
    </w:pPr>
    <w:r>
      <w:rPr>
        <w:noProof/>
      </w:rPr>
      <w:drawing>
        <wp:inline distT="0" distB="0" distL="0" distR="0" wp14:anchorId="00CAD825" wp14:editId="7B0A3DB2">
          <wp:extent cx="7370445" cy="1061085"/>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610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0D8"/>
    <w:multiLevelType w:val="multilevel"/>
    <w:tmpl w:val="77928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10DFF"/>
    <w:multiLevelType w:val="hybridMultilevel"/>
    <w:tmpl w:val="3BA496E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B8D5DAA"/>
    <w:multiLevelType w:val="multilevel"/>
    <w:tmpl w:val="57A26CE6"/>
    <w:lvl w:ilvl="0">
      <w:start w:val="1"/>
      <w:numFmt w:val="decimal"/>
      <w:pStyle w:val="CX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0D8420B4"/>
    <w:multiLevelType w:val="hybridMultilevel"/>
    <w:tmpl w:val="217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24B10"/>
    <w:multiLevelType w:val="hybridMultilevel"/>
    <w:tmpl w:val="EEF27C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234787C"/>
    <w:multiLevelType w:val="hybridMultilevel"/>
    <w:tmpl w:val="E396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05C5B"/>
    <w:multiLevelType w:val="hybridMultilevel"/>
    <w:tmpl w:val="D044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956BB"/>
    <w:multiLevelType w:val="hybridMultilevel"/>
    <w:tmpl w:val="D5EC6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135D4"/>
    <w:multiLevelType w:val="hybridMultilevel"/>
    <w:tmpl w:val="A7FE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B06B0"/>
    <w:multiLevelType w:val="hybridMultilevel"/>
    <w:tmpl w:val="654A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27629"/>
    <w:multiLevelType w:val="hybridMultilevel"/>
    <w:tmpl w:val="870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E40C1"/>
    <w:multiLevelType w:val="hybridMultilevel"/>
    <w:tmpl w:val="C8C0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62F6C"/>
    <w:multiLevelType w:val="hybridMultilevel"/>
    <w:tmpl w:val="32F4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F0CE2"/>
    <w:multiLevelType w:val="hybridMultilevel"/>
    <w:tmpl w:val="B268EA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5EB0E9A"/>
    <w:multiLevelType w:val="hybridMultilevel"/>
    <w:tmpl w:val="AE823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BF08F3"/>
    <w:multiLevelType w:val="hybridMultilevel"/>
    <w:tmpl w:val="EE62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C06F2"/>
    <w:multiLevelType w:val="hybridMultilevel"/>
    <w:tmpl w:val="31BE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34BA7"/>
    <w:multiLevelType w:val="hybridMultilevel"/>
    <w:tmpl w:val="14D8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F549E"/>
    <w:multiLevelType w:val="hybridMultilevel"/>
    <w:tmpl w:val="DC34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11966"/>
    <w:multiLevelType w:val="hybridMultilevel"/>
    <w:tmpl w:val="1986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76A61"/>
    <w:multiLevelType w:val="hybridMultilevel"/>
    <w:tmpl w:val="922A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53337"/>
    <w:multiLevelType w:val="hybridMultilevel"/>
    <w:tmpl w:val="0238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F133A"/>
    <w:multiLevelType w:val="hybridMultilevel"/>
    <w:tmpl w:val="7E0CF7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8B51703"/>
    <w:multiLevelType w:val="hybridMultilevel"/>
    <w:tmpl w:val="9222A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9"/>
  </w:num>
  <w:num w:numId="4">
    <w:abstractNumId w:val="4"/>
  </w:num>
  <w:num w:numId="5">
    <w:abstractNumId w:val="20"/>
  </w:num>
  <w:num w:numId="6">
    <w:abstractNumId w:val="18"/>
  </w:num>
  <w:num w:numId="7">
    <w:abstractNumId w:val="16"/>
  </w:num>
  <w:num w:numId="8">
    <w:abstractNumId w:val="5"/>
  </w:num>
  <w:num w:numId="9">
    <w:abstractNumId w:val="21"/>
  </w:num>
  <w:num w:numId="10">
    <w:abstractNumId w:val="15"/>
  </w:num>
  <w:num w:numId="11">
    <w:abstractNumId w:val="9"/>
  </w:num>
  <w:num w:numId="12">
    <w:abstractNumId w:val="6"/>
  </w:num>
  <w:num w:numId="13">
    <w:abstractNumId w:val="11"/>
  </w:num>
  <w:num w:numId="14">
    <w:abstractNumId w:val="3"/>
  </w:num>
  <w:num w:numId="15">
    <w:abstractNumId w:val="13"/>
  </w:num>
  <w:num w:numId="16">
    <w:abstractNumId w:val="10"/>
  </w:num>
  <w:num w:numId="17">
    <w:abstractNumId w:val="0"/>
  </w:num>
  <w:num w:numId="18">
    <w:abstractNumId w:val="7"/>
  </w:num>
  <w:num w:numId="19">
    <w:abstractNumId w:val="8"/>
  </w:num>
  <w:num w:numId="20">
    <w:abstractNumId w:val="23"/>
  </w:num>
  <w:num w:numId="21">
    <w:abstractNumId w:val="12"/>
  </w:num>
  <w:num w:numId="22">
    <w:abstractNumId w:val="14"/>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1F"/>
    <w:rsid w:val="0000454B"/>
    <w:rsid w:val="00004BD6"/>
    <w:rsid w:val="000069AC"/>
    <w:rsid w:val="00007300"/>
    <w:rsid w:val="000111EA"/>
    <w:rsid w:val="000148A6"/>
    <w:rsid w:val="00015433"/>
    <w:rsid w:val="00016ECE"/>
    <w:rsid w:val="00021C97"/>
    <w:rsid w:val="00027E91"/>
    <w:rsid w:val="00033717"/>
    <w:rsid w:val="0004008B"/>
    <w:rsid w:val="000413B8"/>
    <w:rsid w:val="00044A9F"/>
    <w:rsid w:val="00047D17"/>
    <w:rsid w:val="00051CA0"/>
    <w:rsid w:val="000528CA"/>
    <w:rsid w:val="0005493F"/>
    <w:rsid w:val="00055642"/>
    <w:rsid w:val="00055AD8"/>
    <w:rsid w:val="000563B3"/>
    <w:rsid w:val="00061105"/>
    <w:rsid w:val="00063496"/>
    <w:rsid w:val="00063D61"/>
    <w:rsid w:val="00063FA5"/>
    <w:rsid w:val="0006673C"/>
    <w:rsid w:val="00067D88"/>
    <w:rsid w:val="00075A96"/>
    <w:rsid w:val="000778CC"/>
    <w:rsid w:val="00083A11"/>
    <w:rsid w:val="000841D6"/>
    <w:rsid w:val="00085CB5"/>
    <w:rsid w:val="00086A26"/>
    <w:rsid w:val="0008704F"/>
    <w:rsid w:val="00093134"/>
    <w:rsid w:val="00093228"/>
    <w:rsid w:val="00093C9C"/>
    <w:rsid w:val="000948B1"/>
    <w:rsid w:val="00096E01"/>
    <w:rsid w:val="000A0B6C"/>
    <w:rsid w:val="000A1036"/>
    <w:rsid w:val="000A1824"/>
    <w:rsid w:val="000A5379"/>
    <w:rsid w:val="000A7E20"/>
    <w:rsid w:val="000B1977"/>
    <w:rsid w:val="000C158C"/>
    <w:rsid w:val="000C1DBD"/>
    <w:rsid w:val="000C5335"/>
    <w:rsid w:val="000C556E"/>
    <w:rsid w:val="000C6E40"/>
    <w:rsid w:val="000D0B1D"/>
    <w:rsid w:val="000D4280"/>
    <w:rsid w:val="000D43B9"/>
    <w:rsid w:val="000D7EC9"/>
    <w:rsid w:val="000E1048"/>
    <w:rsid w:val="000E610A"/>
    <w:rsid w:val="000E6746"/>
    <w:rsid w:val="000E70EC"/>
    <w:rsid w:val="000E746F"/>
    <w:rsid w:val="000E78EA"/>
    <w:rsid w:val="000F0574"/>
    <w:rsid w:val="000F0F14"/>
    <w:rsid w:val="000F159F"/>
    <w:rsid w:val="000F268D"/>
    <w:rsid w:val="000F318F"/>
    <w:rsid w:val="000F3D93"/>
    <w:rsid w:val="000F5C74"/>
    <w:rsid w:val="001004CC"/>
    <w:rsid w:val="00103F09"/>
    <w:rsid w:val="001078ED"/>
    <w:rsid w:val="00107B33"/>
    <w:rsid w:val="001122CB"/>
    <w:rsid w:val="001129E7"/>
    <w:rsid w:val="001130DE"/>
    <w:rsid w:val="001201C3"/>
    <w:rsid w:val="00121596"/>
    <w:rsid w:val="00124430"/>
    <w:rsid w:val="001305C9"/>
    <w:rsid w:val="001375BC"/>
    <w:rsid w:val="00141736"/>
    <w:rsid w:val="00151E5B"/>
    <w:rsid w:val="001529BF"/>
    <w:rsid w:val="0015505E"/>
    <w:rsid w:val="00155D89"/>
    <w:rsid w:val="001621A7"/>
    <w:rsid w:val="00163F41"/>
    <w:rsid w:val="0016528B"/>
    <w:rsid w:val="00166FB6"/>
    <w:rsid w:val="00170711"/>
    <w:rsid w:val="0017365D"/>
    <w:rsid w:val="0017476B"/>
    <w:rsid w:val="00182733"/>
    <w:rsid w:val="00183AB3"/>
    <w:rsid w:val="00194314"/>
    <w:rsid w:val="00197E73"/>
    <w:rsid w:val="001A20D1"/>
    <w:rsid w:val="001A4C4E"/>
    <w:rsid w:val="001A6218"/>
    <w:rsid w:val="001A6A71"/>
    <w:rsid w:val="001A6BC1"/>
    <w:rsid w:val="001B324F"/>
    <w:rsid w:val="001B423C"/>
    <w:rsid w:val="001B4C2C"/>
    <w:rsid w:val="001B5234"/>
    <w:rsid w:val="001B62A5"/>
    <w:rsid w:val="001B6CB4"/>
    <w:rsid w:val="001C0111"/>
    <w:rsid w:val="001C02A9"/>
    <w:rsid w:val="001C42A6"/>
    <w:rsid w:val="001C47A5"/>
    <w:rsid w:val="001C5535"/>
    <w:rsid w:val="001C6A04"/>
    <w:rsid w:val="001C6F9F"/>
    <w:rsid w:val="001D7694"/>
    <w:rsid w:val="001E122F"/>
    <w:rsid w:val="001E13FB"/>
    <w:rsid w:val="001E27B6"/>
    <w:rsid w:val="001F25D8"/>
    <w:rsid w:val="001F4724"/>
    <w:rsid w:val="00207D07"/>
    <w:rsid w:val="002127C7"/>
    <w:rsid w:val="00217DAE"/>
    <w:rsid w:val="00221104"/>
    <w:rsid w:val="00221A3A"/>
    <w:rsid w:val="002223D6"/>
    <w:rsid w:val="0022271D"/>
    <w:rsid w:val="002228DC"/>
    <w:rsid w:val="00225EC3"/>
    <w:rsid w:val="0023015C"/>
    <w:rsid w:val="0023081F"/>
    <w:rsid w:val="00232DCB"/>
    <w:rsid w:val="00235142"/>
    <w:rsid w:val="002400FD"/>
    <w:rsid w:val="00242EF4"/>
    <w:rsid w:val="0025484F"/>
    <w:rsid w:val="00254E80"/>
    <w:rsid w:val="00271929"/>
    <w:rsid w:val="00272B98"/>
    <w:rsid w:val="00273683"/>
    <w:rsid w:val="0027568F"/>
    <w:rsid w:val="002778B9"/>
    <w:rsid w:val="002810A0"/>
    <w:rsid w:val="00281FB3"/>
    <w:rsid w:val="0028203E"/>
    <w:rsid w:val="00282CCA"/>
    <w:rsid w:val="002836B9"/>
    <w:rsid w:val="0028538A"/>
    <w:rsid w:val="002910F9"/>
    <w:rsid w:val="00291B85"/>
    <w:rsid w:val="00291D56"/>
    <w:rsid w:val="0029225C"/>
    <w:rsid w:val="00294E62"/>
    <w:rsid w:val="00297890"/>
    <w:rsid w:val="00297CB5"/>
    <w:rsid w:val="002A1752"/>
    <w:rsid w:val="002A280B"/>
    <w:rsid w:val="002A2BAF"/>
    <w:rsid w:val="002A7646"/>
    <w:rsid w:val="002B0F52"/>
    <w:rsid w:val="002B1142"/>
    <w:rsid w:val="002B3E0A"/>
    <w:rsid w:val="002C1753"/>
    <w:rsid w:val="002D51B6"/>
    <w:rsid w:val="002D5E9A"/>
    <w:rsid w:val="002D739F"/>
    <w:rsid w:val="002E4D59"/>
    <w:rsid w:val="002E70E7"/>
    <w:rsid w:val="002F1780"/>
    <w:rsid w:val="002F1B49"/>
    <w:rsid w:val="002F5749"/>
    <w:rsid w:val="002F5E4E"/>
    <w:rsid w:val="00301B71"/>
    <w:rsid w:val="00306FA1"/>
    <w:rsid w:val="00307E21"/>
    <w:rsid w:val="00310E64"/>
    <w:rsid w:val="00312543"/>
    <w:rsid w:val="00314B12"/>
    <w:rsid w:val="00314F6C"/>
    <w:rsid w:val="003150CE"/>
    <w:rsid w:val="00324967"/>
    <w:rsid w:val="00326ACF"/>
    <w:rsid w:val="00337AFB"/>
    <w:rsid w:val="00341346"/>
    <w:rsid w:val="00341F2D"/>
    <w:rsid w:val="00341F43"/>
    <w:rsid w:val="00344255"/>
    <w:rsid w:val="00344BBB"/>
    <w:rsid w:val="00344BF7"/>
    <w:rsid w:val="003456FE"/>
    <w:rsid w:val="003500DF"/>
    <w:rsid w:val="00350109"/>
    <w:rsid w:val="00350DDB"/>
    <w:rsid w:val="00355971"/>
    <w:rsid w:val="00356131"/>
    <w:rsid w:val="00356939"/>
    <w:rsid w:val="00356C2F"/>
    <w:rsid w:val="003643B2"/>
    <w:rsid w:val="00372ECE"/>
    <w:rsid w:val="00375DE6"/>
    <w:rsid w:val="00376B06"/>
    <w:rsid w:val="00381359"/>
    <w:rsid w:val="0038505E"/>
    <w:rsid w:val="0038524C"/>
    <w:rsid w:val="0038637F"/>
    <w:rsid w:val="00392ACE"/>
    <w:rsid w:val="003937A6"/>
    <w:rsid w:val="00394B36"/>
    <w:rsid w:val="00396F00"/>
    <w:rsid w:val="003A4060"/>
    <w:rsid w:val="003A45D4"/>
    <w:rsid w:val="003A6080"/>
    <w:rsid w:val="003A678C"/>
    <w:rsid w:val="003A73CD"/>
    <w:rsid w:val="003B2112"/>
    <w:rsid w:val="003B2F99"/>
    <w:rsid w:val="003B6A41"/>
    <w:rsid w:val="003C08B6"/>
    <w:rsid w:val="003C10DA"/>
    <w:rsid w:val="003C1C69"/>
    <w:rsid w:val="003C1E26"/>
    <w:rsid w:val="003D122D"/>
    <w:rsid w:val="003D20A8"/>
    <w:rsid w:val="003D77D7"/>
    <w:rsid w:val="003E1D5B"/>
    <w:rsid w:val="003E1FE3"/>
    <w:rsid w:val="003E3DD2"/>
    <w:rsid w:val="003E66B1"/>
    <w:rsid w:val="003F1385"/>
    <w:rsid w:val="003F29C6"/>
    <w:rsid w:val="003F5A68"/>
    <w:rsid w:val="00403C76"/>
    <w:rsid w:val="004041BD"/>
    <w:rsid w:val="004115D5"/>
    <w:rsid w:val="0042069C"/>
    <w:rsid w:val="004206AC"/>
    <w:rsid w:val="00422DC3"/>
    <w:rsid w:val="00425DF0"/>
    <w:rsid w:val="004270AB"/>
    <w:rsid w:val="00427CFB"/>
    <w:rsid w:val="00430D7C"/>
    <w:rsid w:val="0043452A"/>
    <w:rsid w:val="00435CCD"/>
    <w:rsid w:val="00440D99"/>
    <w:rsid w:val="00441A83"/>
    <w:rsid w:val="004428D9"/>
    <w:rsid w:val="004437D0"/>
    <w:rsid w:val="00446AB1"/>
    <w:rsid w:val="004504D9"/>
    <w:rsid w:val="00450E51"/>
    <w:rsid w:val="00454745"/>
    <w:rsid w:val="004547C1"/>
    <w:rsid w:val="00470196"/>
    <w:rsid w:val="0047071E"/>
    <w:rsid w:val="00472413"/>
    <w:rsid w:val="0047271E"/>
    <w:rsid w:val="00475111"/>
    <w:rsid w:val="00477084"/>
    <w:rsid w:val="00482739"/>
    <w:rsid w:val="0048726C"/>
    <w:rsid w:val="00491D0B"/>
    <w:rsid w:val="0049583B"/>
    <w:rsid w:val="00495965"/>
    <w:rsid w:val="004963E7"/>
    <w:rsid w:val="004A3DBD"/>
    <w:rsid w:val="004B6ACD"/>
    <w:rsid w:val="004B755E"/>
    <w:rsid w:val="004E1622"/>
    <w:rsid w:val="004E16E9"/>
    <w:rsid w:val="004E5D46"/>
    <w:rsid w:val="004F4CBD"/>
    <w:rsid w:val="004F5F8A"/>
    <w:rsid w:val="004F7DB5"/>
    <w:rsid w:val="00501E6A"/>
    <w:rsid w:val="00502AD0"/>
    <w:rsid w:val="00502B99"/>
    <w:rsid w:val="00511AA0"/>
    <w:rsid w:val="005121ED"/>
    <w:rsid w:val="00513797"/>
    <w:rsid w:val="00513F65"/>
    <w:rsid w:val="005167D8"/>
    <w:rsid w:val="005169CE"/>
    <w:rsid w:val="00517D40"/>
    <w:rsid w:val="0052006B"/>
    <w:rsid w:val="0052080A"/>
    <w:rsid w:val="00521E2B"/>
    <w:rsid w:val="005225E6"/>
    <w:rsid w:val="00527A63"/>
    <w:rsid w:val="00534247"/>
    <w:rsid w:val="005347F1"/>
    <w:rsid w:val="0053515B"/>
    <w:rsid w:val="005448FE"/>
    <w:rsid w:val="00545E31"/>
    <w:rsid w:val="00545F96"/>
    <w:rsid w:val="0055131E"/>
    <w:rsid w:val="00551F8B"/>
    <w:rsid w:val="00554BDC"/>
    <w:rsid w:val="00556EE6"/>
    <w:rsid w:val="005574FB"/>
    <w:rsid w:val="00561ACB"/>
    <w:rsid w:val="00566276"/>
    <w:rsid w:val="00567664"/>
    <w:rsid w:val="0057196C"/>
    <w:rsid w:val="00576244"/>
    <w:rsid w:val="00580493"/>
    <w:rsid w:val="00580F7F"/>
    <w:rsid w:val="00582591"/>
    <w:rsid w:val="00582C99"/>
    <w:rsid w:val="00583602"/>
    <w:rsid w:val="00583D38"/>
    <w:rsid w:val="00591BE6"/>
    <w:rsid w:val="005A0B9B"/>
    <w:rsid w:val="005A435F"/>
    <w:rsid w:val="005A772C"/>
    <w:rsid w:val="005B0FF9"/>
    <w:rsid w:val="005B179C"/>
    <w:rsid w:val="005B2F19"/>
    <w:rsid w:val="005B47F7"/>
    <w:rsid w:val="005C003C"/>
    <w:rsid w:val="005C1F76"/>
    <w:rsid w:val="005C3B2E"/>
    <w:rsid w:val="005C54FE"/>
    <w:rsid w:val="005D15F9"/>
    <w:rsid w:val="005D4258"/>
    <w:rsid w:val="005D4F03"/>
    <w:rsid w:val="005D5067"/>
    <w:rsid w:val="005D50B9"/>
    <w:rsid w:val="005D7038"/>
    <w:rsid w:val="005E1E44"/>
    <w:rsid w:val="005F0527"/>
    <w:rsid w:val="005F4DD7"/>
    <w:rsid w:val="005F624A"/>
    <w:rsid w:val="00607795"/>
    <w:rsid w:val="006108EE"/>
    <w:rsid w:val="0061353F"/>
    <w:rsid w:val="006146F9"/>
    <w:rsid w:val="006176AD"/>
    <w:rsid w:val="0062624A"/>
    <w:rsid w:val="0062647F"/>
    <w:rsid w:val="00626A33"/>
    <w:rsid w:val="00633E39"/>
    <w:rsid w:val="00642B3F"/>
    <w:rsid w:val="00646EC0"/>
    <w:rsid w:val="0064719B"/>
    <w:rsid w:val="00647354"/>
    <w:rsid w:val="00653427"/>
    <w:rsid w:val="00656C87"/>
    <w:rsid w:val="00661DEF"/>
    <w:rsid w:val="00663979"/>
    <w:rsid w:val="006639A2"/>
    <w:rsid w:val="00665891"/>
    <w:rsid w:val="006662B2"/>
    <w:rsid w:val="006671BC"/>
    <w:rsid w:val="00670187"/>
    <w:rsid w:val="0067052F"/>
    <w:rsid w:val="00672BA0"/>
    <w:rsid w:val="00672DFC"/>
    <w:rsid w:val="00673D3F"/>
    <w:rsid w:val="00675305"/>
    <w:rsid w:val="0067697B"/>
    <w:rsid w:val="00676F45"/>
    <w:rsid w:val="00677D16"/>
    <w:rsid w:val="006828E7"/>
    <w:rsid w:val="00682A12"/>
    <w:rsid w:val="00682B74"/>
    <w:rsid w:val="00692675"/>
    <w:rsid w:val="00692B4D"/>
    <w:rsid w:val="00693B43"/>
    <w:rsid w:val="006957A8"/>
    <w:rsid w:val="006A4091"/>
    <w:rsid w:val="006A5488"/>
    <w:rsid w:val="006A695A"/>
    <w:rsid w:val="006B2296"/>
    <w:rsid w:val="006B5B4F"/>
    <w:rsid w:val="006B717D"/>
    <w:rsid w:val="006C36C3"/>
    <w:rsid w:val="006C4E8D"/>
    <w:rsid w:val="006C535A"/>
    <w:rsid w:val="006D0417"/>
    <w:rsid w:val="006D1419"/>
    <w:rsid w:val="006D2DD0"/>
    <w:rsid w:val="006E149F"/>
    <w:rsid w:val="006E2B46"/>
    <w:rsid w:val="006E78AC"/>
    <w:rsid w:val="006F000C"/>
    <w:rsid w:val="006F1D60"/>
    <w:rsid w:val="006F24F4"/>
    <w:rsid w:val="006F42A6"/>
    <w:rsid w:val="006F6C66"/>
    <w:rsid w:val="007022A7"/>
    <w:rsid w:val="00706500"/>
    <w:rsid w:val="0071151F"/>
    <w:rsid w:val="0071561C"/>
    <w:rsid w:val="007177AD"/>
    <w:rsid w:val="00723FC1"/>
    <w:rsid w:val="00731869"/>
    <w:rsid w:val="0073205C"/>
    <w:rsid w:val="0073247F"/>
    <w:rsid w:val="00735E74"/>
    <w:rsid w:val="0073755E"/>
    <w:rsid w:val="00740B5C"/>
    <w:rsid w:val="007412BE"/>
    <w:rsid w:val="00745ECD"/>
    <w:rsid w:val="007607CD"/>
    <w:rsid w:val="007627E8"/>
    <w:rsid w:val="00763D6A"/>
    <w:rsid w:val="00763FC4"/>
    <w:rsid w:val="00771DA9"/>
    <w:rsid w:val="007733EF"/>
    <w:rsid w:val="00781180"/>
    <w:rsid w:val="0078137A"/>
    <w:rsid w:val="00781C6D"/>
    <w:rsid w:val="0078523F"/>
    <w:rsid w:val="0078771F"/>
    <w:rsid w:val="00795EAD"/>
    <w:rsid w:val="00797035"/>
    <w:rsid w:val="007A0585"/>
    <w:rsid w:val="007A0994"/>
    <w:rsid w:val="007A40F3"/>
    <w:rsid w:val="007A50BC"/>
    <w:rsid w:val="007A52F9"/>
    <w:rsid w:val="007B44D4"/>
    <w:rsid w:val="007C19A5"/>
    <w:rsid w:val="007C1CE0"/>
    <w:rsid w:val="007C43E5"/>
    <w:rsid w:val="007C7150"/>
    <w:rsid w:val="007C77BF"/>
    <w:rsid w:val="007D09D7"/>
    <w:rsid w:val="007D2402"/>
    <w:rsid w:val="007E1D39"/>
    <w:rsid w:val="007E2D1F"/>
    <w:rsid w:val="007E2D75"/>
    <w:rsid w:val="007E5F75"/>
    <w:rsid w:val="007F29BF"/>
    <w:rsid w:val="007F2DF1"/>
    <w:rsid w:val="007F4B59"/>
    <w:rsid w:val="0080169C"/>
    <w:rsid w:val="00802F7B"/>
    <w:rsid w:val="00805D9E"/>
    <w:rsid w:val="00806A34"/>
    <w:rsid w:val="00810A55"/>
    <w:rsid w:val="00810DC7"/>
    <w:rsid w:val="0081142A"/>
    <w:rsid w:val="008119F0"/>
    <w:rsid w:val="0081654A"/>
    <w:rsid w:val="00820091"/>
    <w:rsid w:val="00823975"/>
    <w:rsid w:val="00824AE4"/>
    <w:rsid w:val="00835551"/>
    <w:rsid w:val="00842A2E"/>
    <w:rsid w:val="0084600B"/>
    <w:rsid w:val="00846E5C"/>
    <w:rsid w:val="008519EB"/>
    <w:rsid w:val="0085213D"/>
    <w:rsid w:val="0085230D"/>
    <w:rsid w:val="00854F6F"/>
    <w:rsid w:val="00855640"/>
    <w:rsid w:val="00856803"/>
    <w:rsid w:val="00861265"/>
    <w:rsid w:val="00872E8B"/>
    <w:rsid w:val="00874FBD"/>
    <w:rsid w:val="00883B4D"/>
    <w:rsid w:val="008870B2"/>
    <w:rsid w:val="008928F4"/>
    <w:rsid w:val="008947E6"/>
    <w:rsid w:val="00894C09"/>
    <w:rsid w:val="00895012"/>
    <w:rsid w:val="0089782E"/>
    <w:rsid w:val="00897ACC"/>
    <w:rsid w:val="008A31BD"/>
    <w:rsid w:val="008A452D"/>
    <w:rsid w:val="008A47C9"/>
    <w:rsid w:val="008A555A"/>
    <w:rsid w:val="008A6EC1"/>
    <w:rsid w:val="008A73D1"/>
    <w:rsid w:val="008B01CB"/>
    <w:rsid w:val="008B20A8"/>
    <w:rsid w:val="008B3B85"/>
    <w:rsid w:val="008B51C2"/>
    <w:rsid w:val="008B5616"/>
    <w:rsid w:val="008B56BC"/>
    <w:rsid w:val="008B5F71"/>
    <w:rsid w:val="008C13EF"/>
    <w:rsid w:val="008C307F"/>
    <w:rsid w:val="008C5671"/>
    <w:rsid w:val="008C7FEE"/>
    <w:rsid w:val="008D3FB4"/>
    <w:rsid w:val="008D6DA8"/>
    <w:rsid w:val="008D7664"/>
    <w:rsid w:val="008E30DB"/>
    <w:rsid w:val="008E34A2"/>
    <w:rsid w:val="008E401B"/>
    <w:rsid w:val="008E55AC"/>
    <w:rsid w:val="008F06D0"/>
    <w:rsid w:val="008F34D6"/>
    <w:rsid w:val="00901538"/>
    <w:rsid w:val="00901A0A"/>
    <w:rsid w:val="009026CD"/>
    <w:rsid w:val="00903B33"/>
    <w:rsid w:val="00906299"/>
    <w:rsid w:val="00906864"/>
    <w:rsid w:val="00906ACA"/>
    <w:rsid w:val="009076D1"/>
    <w:rsid w:val="00911AC5"/>
    <w:rsid w:val="00912E13"/>
    <w:rsid w:val="00920852"/>
    <w:rsid w:val="009236E0"/>
    <w:rsid w:val="009301C7"/>
    <w:rsid w:val="009307E1"/>
    <w:rsid w:val="00931AB8"/>
    <w:rsid w:val="0093444B"/>
    <w:rsid w:val="009401AB"/>
    <w:rsid w:val="00940F1E"/>
    <w:rsid w:val="00940F9E"/>
    <w:rsid w:val="00942458"/>
    <w:rsid w:val="009439D5"/>
    <w:rsid w:val="00946280"/>
    <w:rsid w:val="00953A3D"/>
    <w:rsid w:val="00954E2E"/>
    <w:rsid w:val="00955E74"/>
    <w:rsid w:val="00960068"/>
    <w:rsid w:val="009604E3"/>
    <w:rsid w:val="00960722"/>
    <w:rsid w:val="00960DA5"/>
    <w:rsid w:val="00961B17"/>
    <w:rsid w:val="009626A6"/>
    <w:rsid w:val="00962E55"/>
    <w:rsid w:val="009656BB"/>
    <w:rsid w:val="009656F6"/>
    <w:rsid w:val="00965F65"/>
    <w:rsid w:val="00967B78"/>
    <w:rsid w:val="0097522A"/>
    <w:rsid w:val="00985F1A"/>
    <w:rsid w:val="00993FA6"/>
    <w:rsid w:val="0099497B"/>
    <w:rsid w:val="00994A4F"/>
    <w:rsid w:val="00994D45"/>
    <w:rsid w:val="00997930"/>
    <w:rsid w:val="009A54D8"/>
    <w:rsid w:val="009C0DB8"/>
    <w:rsid w:val="009C0F9C"/>
    <w:rsid w:val="009C1B93"/>
    <w:rsid w:val="009C3AAB"/>
    <w:rsid w:val="009C4055"/>
    <w:rsid w:val="009C6D3F"/>
    <w:rsid w:val="009D25A6"/>
    <w:rsid w:val="009D5F82"/>
    <w:rsid w:val="009D6371"/>
    <w:rsid w:val="009E3FAA"/>
    <w:rsid w:val="009E48BE"/>
    <w:rsid w:val="009E5BF8"/>
    <w:rsid w:val="009E6ECB"/>
    <w:rsid w:val="009E7CFC"/>
    <w:rsid w:val="009F33FF"/>
    <w:rsid w:val="009F3CE8"/>
    <w:rsid w:val="009F44E4"/>
    <w:rsid w:val="009F4B69"/>
    <w:rsid w:val="00A00634"/>
    <w:rsid w:val="00A00788"/>
    <w:rsid w:val="00A02311"/>
    <w:rsid w:val="00A03544"/>
    <w:rsid w:val="00A04D4F"/>
    <w:rsid w:val="00A05CF0"/>
    <w:rsid w:val="00A05E2F"/>
    <w:rsid w:val="00A06F29"/>
    <w:rsid w:val="00A07AB7"/>
    <w:rsid w:val="00A11957"/>
    <w:rsid w:val="00A2293F"/>
    <w:rsid w:val="00A23217"/>
    <w:rsid w:val="00A26373"/>
    <w:rsid w:val="00A2686B"/>
    <w:rsid w:val="00A31AA4"/>
    <w:rsid w:val="00A34FDC"/>
    <w:rsid w:val="00A352E7"/>
    <w:rsid w:val="00A41B40"/>
    <w:rsid w:val="00A42833"/>
    <w:rsid w:val="00A42D81"/>
    <w:rsid w:val="00A45CC7"/>
    <w:rsid w:val="00A60C9B"/>
    <w:rsid w:val="00A60E3A"/>
    <w:rsid w:val="00A63439"/>
    <w:rsid w:val="00A657D8"/>
    <w:rsid w:val="00A701C6"/>
    <w:rsid w:val="00A76FA8"/>
    <w:rsid w:val="00A820DA"/>
    <w:rsid w:val="00A912AE"/>
    <w:rsid w:val="00A91CF0"/>
    <w:rsid w:val="00A941FE"/>
    <w:rsid w:val="00A9672C"/>
    <w:rsid w:val="00AA130A"/>
    <w:rsid w:val="00AA20D8"/>
    <w:rsid w:val="00AA3273"/>
    <w:rsid w:val="00AA42B8"/>
    <w:rsid w:val="00AA4DF8"/>
    <w:rsid w:val="00AB14A0"/>
    <w:rsid w:val="00AB1D53"/>
    <w:rsid w:val="00AB517B"/>
    <w:rsid w:val="00AB7FDD"/>
    <w:rsid w:val="00AC2C65"/>
    <w:rsid w:val="00AD092D"/>
    <w:rsid w:val="00AD52A2"/>
    <w:rsid w:val="00AD6543"/>
    <w:rsid w:val="00AD7552"/>
    <w:rsid w:val="00AE53E4"/>
    <w:rsid w:val="00AE5F6E"/>
    <w:rsid w:val="00AE61C6"/>
    <w:rsid w:val="00AF002C"/>
    <w:rsid w:val="00AF0CA3"/>
    <w:rsid w:val="00AF45D1"/>
    <w:rsid w:val="00AF64DB"/>
    <w:rsid w:val="00AF7C98"/>
    <w:rsid w:val="00B03782"/>
    <w:rsid w:val="00B0480E"/>
    <w:rsid w:val="00B05A30"/>
    <w:rsid w:val="00B05CFE"/>
    <w:rsid w:val="00B06362"/>
    <w:rsid w:val="00B06DB3"/>
    <w:rsid w:val="00B10A92"/>
    <w:rsid w:val="00B11630"/>
    <w:rsid w:val="00B20151"/>
    <w:rsid w:val="00B20AF0"/>
    <w:rsid w:val="00B20D97"/>
    <w:rsid w:val="00B248A1"/>
    <w:rsid w:val="00B2545F"/>
    <w:rsid w:val="00B25EB7"/>
    <w:rsid w:val="00B27B17"/>
    <w:rsid w:val="00B4002D"/>
    <w:rsid w:val="00B41BF8"/>
    <w:rsid w:val="00B433A8"/>
    <w:rsid w:val="00B45C20"/>
    <w:rsid w:val="00B519F3"/>
    <w:rsid w:val="00B610F8"/>
    <w:rsid w:val="00B635CD"/>
    <w:rsid w:val="00B63A11"/>
    <w:rsid w:val="00B64A7E"/>
    <w:rsid w:val="00B64B17"/>
    <w:rsid w:val="00B70199"/>
    <w:rsid w:val="00B71126"/>
    <w:rsid w:val="00B712ED"/>
    <w:rsid w:val="00B75F28"/>
    <w:rsid w:val="00B776D5"/>
    <w:rsid w:val="00B7777F"/>
    <w:rsid w:val="00B808EF"/>
    <w:rsid w:val="00B81086"/>
    <w:rsid w:val="00B840C2"/>
    <w:rsid w:val="00B84960"/>
    <w:rsid w:val="00B8528B"/>
    <w:rsid w:val="00B9041A"/>
    <w:rsid w:val="00B90EB4"/>
    <w:rsid w:val="00B94F83"/>
    <w:rsid w:val="00B96559"/>
    <w:rsid w:val="00B97B64"/>
    <w:rsid w:val="00BA4BCB"/>
    <w:rsid w:val="00BB0D50"/>
    <w:rsid w:val="00BB2048"/>
    <w:rsid w:val="00BB5D54"/>
    <w:rsid w:val="00BB6906"/>
    <w:rsid w:val="00BC0D10"/>
    <w:rsid w:val="00BC124E"/>
    <w:rsid w:val="00BC640C"/>
    <w:rsid w:val="00BD3BF8"/>
    <w:rsid w:val="00BD6E1F"/>
    <w:rsid w:val="00BE0235"/>
    <w:rsid w:val="00BE57EF"/>
    <w:rsid w:val="00BF1C2B"/>
    <w:rsid w:val="00BF4E8B"/>
    <w:rsid w:val="00BF4FE1"/>
    <w:rsid w:val="00BF5700"/>
    <w:rsid w:val="00C072BD"/>
    <w:rsid w:val="00C10D66"/>
    <w:rsid w:val="00C13C07"/>
    <w:rsid w:val="00C25689"/>
    <w:rsid w:val="00C3027D"/>
    <w:rsid w:val="00C3170C"/>
    <w:rsid w:val="00C32B17"/>
    <w:rsid w:val="00C361C5"/>
    <w:rsid w:val="00C36AA5"/>
    <w:rsid w:val="00C37E3A"/>
    <w:rsid w:val="00C41905"/>
    <w:rsid w:val="00C47C31"/>
    <w:rsid w:val="00C51848"/>
    <w:rsid w:val="00C5186C"/>
    <w:rsid w:val="00C5267E"/>
    <w:rsid w:val="00C53E5C"/>
    <w:rsid w:val="00C5615E"/>
    <w:rsid w:val="00C57551"/>
    <w:rsid w:val="00C726AB"/>
    <w:rsid w:val="00C768D8"/>
    <w:rsid w:val="00C76965"/>
    <w:rsid w:val="00C80712"/>
    <w:rsid w:val="00C80F9B"/>
    <w:rsid w:val="00C82B2A"/>
    <w:rsid w:val="00C84606"/>
    <w:rsid w:val="00C94AE6"/>
    <w:rsid w:val="00CA416E"/>
    <w:rsid w:val="00CA4F40"/>
    <w:rsid w:val="00CA5FB6"/>
    <w:rsid w:val="00CB2466"/>
    <w:rsid w:val="00CB66A7"/>
    <w:rsid w:val="00CC5590"/>
    <w:rsid w:val="00CC780D"/>
    <w:rsid w:val="00CD7887"/>
    <w:rsid w:val="00CE42FE"/>
    <w:rsid w:val="00CE5E7A"/>
    <w:rsid w:val="00CF3D27"/>
    <w:rsid w:val="00CF3D34"/>
    <w:rsid w:val="00CF4302"/>
    <w:rsid w:val="00CF5484"/>
    <w:rsid w:val="00D0096A"/>
    <w:rsid w:val="00D01748"/>
    <w:rsid w:val="00D06A73"/>
    <w:rsid w:val="00D1131D"/>
    <w:rsid w:val="00D13CAE"/>
    <w:rsid w:val="00D15466"/>
    <w:rsid w:val="00D24B78"/>
    <w:rsid w:val="00D26840"/>
    <w:rsid w:val="00D273D1"/>
    <w:rsid w:val="00D27BF9"/>
    <w:rsid w:val="00D344AC"/>
    <w:rsid w:val="00D40636"/>
    <w:rsid w:val="00D40AE1"/>
    <w:rsid w:val="00D43D20"/>
    <w:rsid w:val="00D43F4A"/>
    <w:rsid w:val="00D47CDC"/>
    <w:rsid w:val="00D50C58"/>
    <w:rsid w:val="00D50D72"/>
    <w:rsid w:val="00D51AC4"/>
    <w:rsid w:val="00D533AC"/>
    <w:rsid w:val="00D54D7E"/>
    <w:rsid w:val="00D55026"/>
    <w:rsid w:val="00D5775A"/>
    <w:rsid w:val="00D62584"/>
    <w:rsid w:val="00D628D1"/>
    <w:rsid w:val="00D62A4F"/>
    <w:rsid w:val="00D67961"/>
    <w:rsid w:val="00D71704"/>
    <w:rsid w:val="00D722FC"/>
    <w:rsid w:val="00D77743"/>
    <w:rsid w:val="00D802DF"/>
    <w:rsid w:val="00D81499"/>
    <w:rsid w:val="00D8159C"/>
    <w:rsid w:val="00D90409"/>
    <w:rsid w:val="00D96825"/>
    <w:rsid w:val="00DA3424"/>
    <w:rsid w:val="00DB1E07"/>
    <w:rsid w:val="00DB61A7"/>
    <w:rsid w:val="00DC0201"/>
    <w:rsid w:val="00DC061D"/>
    <w:rsid w:val="00DC063E"/>
    <w:rsid w:val="00DC4CB7"/>
    <w:rsid w:val="00DD169A"/>
    <w:rsid w:val="00DE14EE"/>
    <w:rsid w:val="00DE1765"/>
    <w:rsid w:val="00DE1AE4"/>
    <w:rsid w:val="00DE2AA3"/>
    <w:rsid w:val="00DE4163"/>
    <w:rsid w:val="00DE5E91"/>
    <w:rsid w:val="00DE5FB9"/>
    <w:rsid w:val="00DF044C"/>
    <w:rsid w:val="00E00AE4"/>
    <w:rsid w:val="00E00EFC"/>
    <w:rsid w:val="00E011CF"/>
    <w:rsid w:val="00E01DAB"/>
    <w:rsid w:val="00E04E31"/>
    <w:rsid w:val="00E052EA"/>
    <w:rsid w:val="00E07562"/>
    <w:rsid w:val="00E078CF"/>
    <w:rsid w:val="00E07D2D"/>
    <w:rsid w:val="00E23365"/>
    <w:rsid w:val="00E23FDF"/>
    <w:rsid w:val="00E4245C"/>
    <w:rsid w:val="00E42B97"/>
    <w:rsid w:val="00E42C98"/>
    <w:rsid w:val="00E4580C"/>
    <w:rsid w:val="00E45DCA"/>
    <w:rsid w:val="00E4720A"/>
    <w:rsid w:val="00E515CF"/>
    <w:rsid w:val="00E544F6"/>
    <w:rsid w:val="00E5745C"/>
    <w:rsid w:val="00E57BE8"/>
    <w:rsid w:val="00E617B3"/>
    <w:rsid w:val="00E62AC0"/>
    <w:rsid w:val="00E65E5A"/>
    <w:rsid w:val="00E66109"/>
    <w:rsid w:val="00E81FE7"/>
    <w:rsid w:val="00E86AB2"/>
    <w:rsid w:val="00E873A4"/>
    <w:rsid w:val="00E91697"/>
    <w:rsid w:val="00E918BD"/>
    <w:rsid w:val="00E92DD6"/>
    <w:rsid w:val="00E96E8E"/>
    <w:rsid w:val="00EA453B"/>
    <w:rsid w:val="00EA5697"/>
    <w:rsid w:val="00EB3259"/>
    <w:rsid w:val="00EB3E81"/>
    <w:rsid w:val="00EC0D2B"/>
    <w:rsid w:val="00EC182E"/>
    <w:rsid w:val="00EC7891"/>
    <w:rsid w:val="00ED3E8A"/>
    <w:rsid w:val="00ED5A69"/>
    <w:rsid w:val="00EE1A66"/>
    <w:rsid w:val="00EE1DAA"/>
    <w:rsid w:val="00EE2863"/>
    <w:rsid w:val="00EE6ECD"/>
    <w:rsid w:val="00EF353C"/>
    <w:rsid w:val="00EF3A1D"/>
    <w:rsid w:val="00F026A8"/>
    <w:rsid w:val="00F147F2"/>
    <w:rsid w:val="00F172C0"/>
    <w:rsid w:val="00F20642"/>
    <w:rsid w:val="00F249BB"/>
    <w:rsid w:val="00F25243"/>
    <w:rsid w:val="00F26C31"/>
    <w:rsid w:val="00F27F2B"/>
    <w:rsid w:val="00F32732"/>
    <w:rsid w:val="00F33D71"/>
    <w:rsid w:val="00F3680A"/>
    <w:rsid w:val="00F3723F"/>
    <w:rsid w:val="00F40572"/>
    <w:rsid w:val="00F54C48"/>
    <w:rsid w:val="00F57060"/>
    <w:rsid w:val="00F57C0F"/>
    <w:rsid w:val="00F60484"/>
    <w:rsid w:val="00F61004"/>
    <w:rsid w:val="00F61E0B"/>
    <w:rsid w:val="00F6504D"/>
    <w:rsid w:val="00F65522"/>
    <w:rsid w:val="00F65E8C"/>
    <w:rsid w:val="00F71DDD"/>
    <w:rsid w:val="00F72536"/>
    <w:rsid w:val="00F83A79"/>
    <w:rsid w:val="00F840ED"/>
    <w:rsid w:val="00F85D6F"/>
    <w:rsid w:val="00F864A4"/>
    <w:rsid w:val="00F90DAC"/>
    <w:rsid w:val="00F94B3A"/>
    <w:rsid w:val="00FA228B"/>
    <w:rsid w:val="00FA25C6"/>
    <w:rsid w:val="00FA62AE"/>
    <w:rsid w:val="00FA785C"/>
    <w:rsid w:val="00FB1F01"/>
    <w:rsid w:val="00FB2AD4"/>
    <w:rsid w:val="00FB4E7F"/>
    <w:rsid w:val="00FB640A"/>
    <w:rsid w:val="00FB6ADE"/>
    <w:rsid w:val="00FC0985"/>
    <w:rsid w:val="00FC1B3D"/>
    <w:rsid w:val="00FC444A"/>
    <w:rsid w:val="00FD24BA"/>
    <w:rsid w:val="00FD26FD"/>
    <w:rsid w:val="00FD332D"/>
    <w:rsid w:val="00FD4569"/>
    <w:rsid w:val="00FD6CAB"/>
    <w:rsid w:val="00FE1305"/>
    <w:rsid w:val="00FE3810"/>
    <w:rsid w:val="00FE7045"/>
    <w:rsid w:val="00FE7E90"/>
    <w:rsid w:val="00FF4204"/>
    <w:rsid w:val="00FF600C"/>
    <w:rsid w:val="00FF6EA0"/>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C54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6C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217DA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D1F"/>
    <w:pPr>
      <w:tabs>
        <w:tab w:val="center" w:pos="4680"/>
        <w:tab w:val="right" w:pos="9360"/>
      </w:tabs>
    </w:pPr>
  </w:style>
  <w:style w:type="character" w:customStyle="1" w:styleId="HeaderChar">
    <w:name w:val="Header Char"/>
    <w:basedOn w:val="DefaultParagraphFont"/>
    <w:link w:val="Header"/>
    <w:uiPriority w:val="99"/>
    <w:rsid w:val="007E2D1F"/>
  </w:style>
  <w:style w:type="paragraph" w:styleId="Footer">
    <w:name w:val="footer"/>
    <w:basedOn w:val="Normal"/>
    <w:link w:val="FooterChar"/>
    <w:uiPriority w:val="99"/>
    <w:unhideWhenUsed/>
    <w:rsid w:val="007E2D1F"/>
    <w:pPr>
      <w:tabs>
        <w:tab w:val="center" w:pos="4680"/>
        <w:tab w:val="right" w:pos="9360"/>
      </w:tabs>
    </w:pPr>
  </w:style>
  <w:style w:type="character" w:customStyle="1" w:styleId="FooterChar">
    <w:name w:val="Footer Char"/>
    <w:basedOn w:val="DefaultParagraphFont"/>
    <w:link w:val="Footer"/>
    <w:uiPriority w:val="99"/>
    <w:rsid w:val="007E2D1F"/>
  </w:style>
  <w:style w:type="paragraph" w:styleId="BodyText">
    <w:name w:val="Body Text"/>
    <w:basedOn w:val="Normal"/>
    <w:link w:val="BodyTextChar"/>
    <w:qFormat/>
    <w:rsid w:val="00802F7B"/>
    <w:pPr>
      <w:spacing w:after="240" w:line="240" w:lineRule="atLeast"/>
    </w:pPr>
    <w:rPr>
      <w:rFonts w:ascii="Calibri" w:eastAsia="Calibri" w:hAnsi="Calibri" w:cs="Times New Roman"/>
      <w:color w:val="000000"/>
      <w:sz w:val="21"/>
      <w:szCs w:val="21"/>
      <w:lang w:val="en-GB"/>
    </w:rPr>
  </w:style>
  <w:style w:type="character" w:customStyle="1" w:styleId="BodyTextChar">
    <w:name w:val="Body Text Char"/>
    <w:basedOn w:val="DefaultParagraphFont"/>
    <w:link w:val="BodyText"/>
    <w:rsid w:val="00802F7B"/>
    <w:rPr>
      <w:rFonts w:ascii="Calibri" w:eastAsia="Calibri" w:hAnsi="Calibri" w:cs="Times New Roman"/>
      <w:color w:val="000000"/>
      <w:sz w:val="21"/>
      <w:szCs w:val="21"/>
      <w:lang w:val="en-GB"/>
    </w:rPr>
  </w:style>
  <w:style w:type="paragraph" w:styleId="MessageHeader">
    <w:name w:val="Message Header"/>
    <w:basedOn w:val="BodyText"/>
    <w:link w:val="MessageHeaderChar"/>
    <w:rsid w:val="00802F7B"/>
    <w:pPr>
      <w:keepLines/>
      <w:tabs>
        <w:tab w:val="left" w:pos="720"/>
      </w:tabs>
      <w:spacing w:after="120" w:line="240" w:lineRule="auto"/>
      <w:ind w:left="720" w:hanging="720"/>
    </w:pPr>
    <w:rPr>
      <w:rFonts w:ascii="Times New Roman" w:eastAsia="Times New Roman" w:hAnsi="Times New Roman"/>
      <w:color w:val="auto"/>
      <w:spacing w:val="-5"/>
      <w:sz w:val="24"/>
      <w:szCs w:val="20"/>
      <w:lang w:val="en-US"/>
    </w:rPr>
  </w:style>
  <w:style w:type="character" w:customStyle="1" w:styleId="MessageHeaderChar">
    <w:name w:val="Message Header Char"/>
    <w:basedOn w:val="DefaultParagraphFont"/>
    <w:link w:val="MessageHeader"/>
    <w:rsid w:val="00802F7B"/>
    <w:rPr>
      <w:rFonts w:ascii="Times New Roman" w:eastAsia="Times New Roman" w:hAnsi="Times New Roman" w:cs="Times New Roman"/>
      <w:spacing w:val="-5"/>
      <w:szCs w:val="20"/>
    </w:rPr>
  </w:style>
  <w:style w:type="paragraph" w:customStyle="1" w:styleId="DocumentLabel">
    <w:name w:val="Document Label"/>
    <w:basedOn w:val="Normal"/>
    <w:next w:val="Normal"/>
    <w:rsid w:val="00802F7B"/>
    <w:pPr>
      <w:keepNext/>
      <w:keepLines/>
      <w:spacing w:before="400" w:after="120" w:line="240" w:lineRule="atLeast"/>
      <w:ind w:left="-840"/>
    </w:pPr>
    <w:rPr>
      <w:rFonts w:ascii="Arial Black" w:eastAsia="Times New Roman" w:hAnsi="Arial Black" w:cs="Times New Roman"/>
      <w:kern w:val="28"/>
      <w:sz w:val="108"/>
      <w:szCs w:val="20"/>
    </w:rPr>
  </w:style>
  <w:style w:type="character" w:customStyle="1" w:styleId="MessageHeaderLabel">
    <w:name w:val="Message Header Label"/>
    <w:rsid w:val="00802F7B"/>
    <w:rPr>
      <w:rFonts w:ascii="Arial Black" w:hAnsi="Arial Black"/>
      <w:spacing w:val="-10"/>
      <w:sz w:val="18"/>
    </w:rPr>
  </w:style>
  <w:style w:type="paragraph" w:customStyle="1" w:styleId="CXStepItem">
    <w:name w:val="CX_StepItem"/>
    <w:basedOn w:val="Normal"/>
    <w:rsid w:val="00802F7B"/>
    <w:pPr>
      <w:numPr>
        <w:numId w:val="1"/>
      </w:numPr>
      <w:spacing w:after="60"/>
      <w:jc w:val="both"/>
    </w:pPr>
    <w:rPr>
      <w:rFonts w:ascii="Arial" w:eastAsia="SimSun" w:hAnsi="Arial" w:cs="Times New Roman"/>
      <w:sz w:val="20"/>
      <w:lang w:eastAsia="zh-CN"/>
    </w:rPr>
  </w:style>
  <w:style w:type="paragraph" w:styleId="ListParagraph">
    <w:name w:val="List Paragraph"/>
    <w:basedOn w:val="Normal"/>
    <w:uiPriority w:val="34"/>
    <w:qFormat/>
    <w:rsid w:val="00802F7B"/>
    <w:pPr>
      <w:ind w:left="720"/>
      <w:contextualSpacing/>
    </w:pPr>
    <w:rPr>
      <w:rFonts w:ascii="Arial" w:hAnsi="Arial"/>
      <w:sz w:val="20"/>
      <w:szCs w:val="22"/>
    </w:rPr>
  </w:style>
  <w:style w:type="table" w:styleId="TableGrid">
    <w:name w:val="Table Grid"/>
    <w:basedOn w:val="TableNormal"/>
    <w:uiPriority w:val="59"/>
    <w:rsid w:val="00802F7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F03"/>
    <w:rPr>
      <w:rFonts w:ascii="Segoe UI" w:hAnsi="Segoe UI" w:cs="Segoe UI"/>
      <w:sz w:val="18"/>
      <w:szCs w:val="18"/>
    </w:rPr>
  </w:style>
  <w:style w:type="character" w:styleId="CommentReference">
    <w:name w:val="annotation reference"/>
    <w:basedOn w:val="DefaultParagraphFont"/>
    <w:uiPriority w:val="99"/>
    <w:semiHidden/>
    <w:unhideWhenUsed/>
    <w:rsid w:val="00F249BB"/>
    <w:rPr>
      <w:sz w:val="16"/>
      <w:szCs w:val="16"/>
    </w:rPr>
  </w:style>
  <w:style w:type="paragraph" w:styleId="CommentText">
    <w:name w:val="annotation text"/>
    <w:basedOn w:val="Normal"/>
    <w:link w:val="CommentTextChar"/>
    <w:uiPriority w:val="99"/>
    <w:semiHidden/>
    <w:unhideWhenUsed/>
    <w:rsid w:val="00F249BB"/>
    <w:rPr>
      <w:sz w:val="20"/>
      <w:szCs w:val="20"/>
    </w:rPr>
  </w:style>
  <w:style w:type="character" w:customStyle="1" w:styleId="CommentTextChar">
    <w:name w:val="Comment Text Char"/>
    <w:basedOn w:val="DefaultParagraphFont"/>
    <w:link w:val="CommentText"/>
    <w:uiPriority w:val="99"/>
    <w:semiHidden/>
    <w:rsid w:val="00F249BB"/>
    <w:rPr>
      <w:sz w:val="20"/>
      <w:szCs w:val="20"/>
    </w:rPr>
  </w:style>
  <w:style w:type="paragraph" w:styleId="CommentSubject">
    <w:name w:val="annotation subject"/>
    <w:basedOn w:val="CommentText"/>
    <w:next w:val="CommentText"/>
    <w:link w:val="CommentSubjectChar"/>
    <w:uiPriority w:val="99"/>
    <w:semiHidden/>
    <w:unhideWhenUsed/>
    <w:rsid w:val="00F249BB"/>
    <w:rPr>
      <w:b/>
      <w:bCs/>
    </w:rPr>
  </w:style>
  <w:style w:type="character" w:customStyle="1" w:styleId="CommentSubjectChar">
    <w:name w:val="Comment Subject Char"/>
    <w:basedOn w:val="CommentTextChar"/>
    <w:link w:val="CommentSubject"/>
    <w:uiPriority w:val="99"/>
    <w:semiHidden/>
    <w:rsid w:val="00F249BB"/>
    <w:rPr>
      <w:b/>
      <w:bCs/>
      <w:sz w:val="20"/>
      <w:szCs w:val="20"/>
    </w:rPr>
  </w:style>
  <w:style w:type="paragraph" w:customStyle="1" w:styleId="TableParagraph">
    <w:name w:val="Table Paragraph"/>
    <w:basedOn w:val="Normal"/>
    <w:uiPriority w:val="1"/>
    <w:qFormat/>
    <w:rsid w:val="00BE0235"/>
    <w:pPr>
      <w:widowControl w:val="0"/>
      <w:autoSpaceDE w:val="0"/>
      <w:autoSpaceDN w:val="0"/>
    </w:pPr>
    <w:rPr>
      <w:rFonts w:ascii="Arial" w:eastAsia="Arial" w:hAnsi="Arial" w:cs="Arial"/>
      <w:sz w:val="22"/>
      <w:szCs w:val="22"/>
      <w:lang w:bidi="en-US"/>
    </w:rPr>
  </w:style>
  <w:style w:type="character" w:styleId="Hyperlink">
    <w:name w:val="Hyperlink"/>
    <w:basedOn w:val="DefaultParagraphFont"/>
    <w:unhideWhenUsed/>
    <w:rsid w:val="00897ACC"/>
    <w:rPr>
      <w:color w:val="0000FF"/>
      <w:u w:val="single"/>
    </w:rPr>
  </w:style>
  <w:style w:type="character" w:customStyle="1" w:styleId="UnresolvedMention">
    <w:name w:val="Unresolved Mention"/>
    <w:basedOn w:val="DefaultParagraphFont"/>
    <w:uiPriority w:val="99"/>
    <w:semiHidden/>
    <w:unhideWhenUsed/>
    <w:rsid w:val="00897ACC"/>
    <w:rPr>
      <w:color w:val="605E5C"/>
      <w:shd w:val="clear" w:color="auto" w:fill="E1DFDD"/>
    </w:rPr>
  </w:style>
  <w:style w:type="character" w:customStyle="1" w:styleId="Heading1Char">
    <w:name w:val="Heading 1 Char"/>
    <w:basedOn w:val="DefaultParagraphFont"/>
    <w:link w:val="Heading1"/>
    <w:uiPriority w:val="9"/>
    <w:rsid w:val="00656C87"/>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A05CF0"/>
    <w:rPr>
      <w:i/>
      <w:iCs/>
    </w:rPr>
  </w:style>
  <w:style w:type="character" w:styleId="Strong">
    <w:name w:val="Strong"/>
    <w:basedOn w:val="DefaultParagraphFont"/>
    <w:uiPriority w:val="22"/>
    <w:qFormat/>
    <w:rsid w:val="00D54D7E"/>
    <w:rPr>
      <w:b/>
      <w:bCs/>
    </w:rPr>
  </w:style>
  <w:style w:type="character" w:customStyle="1" w:styleId="Heading5Char">
    <w:name w:val="Heading 5 Char"/>
    <w:basedOn w:val="DefaultParagraphFont"/>
    <w:link w:val="Heading5"/>
    <w:uiPriority w:val="9"/>
    <w:semiHidden/>
    <w:rsid w:val="00217DAE"/>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FA228B"/>
    <w:rPr>
      <w:color w:val="954F72" w:themeColor="followedHyperlink"/>
      <w:u w:val="single"/>
    </w:rPr>
  </w:style>
  <w:style w:type="paragraph" w:styleId="Revision">
    <w:name w:val="Revision"/>
    <w:hidden/>
    <w:uiPriority w:val="99"/>
    <w:semiHidden/>
    <w:rsid w:val="005A435F"/>
  </w:style>
  <w:style w:type="paragraph" w:styleId="FootnoteText">
    <w:name w:val="footnote text"/>
    <w:basedOn w:val="Normal"/>
    <w:link w:val="FootnoteTextChar"/>
    <w:uiPriority w:val="99"/>
    <w:semiHidden/>
    <w:unhideWhenUsed/>
    <w:rsid w:val="00A701C6"/>
    <w:rPr>
      <w:sz w:val="20"/>
      <w:szCs w:val="20"/>
    </w:rPr>
  </w:style>
  <w:style w:type="character" w:customStyle="1" w:styleId="FootnoteTextChar">
    <w:name w:val="Footnote Text Char"/>
    <w:basedOn w:val="DefaultParagraphFont"/>
    <w:link w:val="FootnoteText"/>
    <w:uiPriority w:val="99"/>
    <w:semiHidden/>
    <w:rsid w:val="00A701C6"/>
    <w:rPr>
      <w:sz w:val="20"/>
      <w:szCs w:val="20"/>
    </w:rPr>
  </w:style>
  <w:style w:type="character" w:styleId="FootnoteReference">
    <w:name w:val="footnote reference"/>
    <w:basedOn w:val="DefaultParagraphFont"/>
    <w:uiPriority w:val="99"/>
    <w:semiHidden/>
    <w:unhideWhenUsed/>
    <w:rsid w:val="00A70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99105">
      <w:bodyDiv w:val="1"/>
      <w:marLeft w:val="0"/>
      <w:marRight w:val="0"/>
      <w:marTop w:val="0"/>
      <w:marBottom w:val="0"/>
      <w:divBdr>
        <w:top w:val="none" w:sz="0" w:space="0" w:color="auto"/>
        <w:left w:val="none" w:sz="0" w:space="0" w:color="auto"/>
        <w:bottom w:val="none" w:sz="0" w:space="0" w:color="auto"/>
        <w:right w:val="none" w:sz="0" w:space="0" w:color="auto"/>
      </w:divBdr>
      <w:divsChild>
        <w:div w:id="1851800147">
          <w:marLeft w:val="0"/>
          <w:marRight w:val="0"/>
          <w:marTop w:val="0"/>
          <w:marBottom w:val="0"/>
          <w:divBdr>
            <w:top w:val="none" w:sz="0" w:space="0" w:color="auto"/>
            <w:left w:val="none" w:sz="0" w:space="0" w:color="auto"/>
            <w:bottom w:val="none" w:sz="0" w:space="0" w:color="auto"/>
            <w:right w:val="none" w:sz="0" w:space="0" w:color="auto"/>
          </w:divBdr>
        </w:div>
      </w:divsChild>
    </w:div>
    <w:div w:id="328559450">
      <w:bodyDiv w:val="1"/>
      <w:marLeft w:val="0"/>
      <w:marRight w:val="0"/>
      <w:marTop w:val="0"/>
      <w:marBottom w:val="0"/>
      <w:divBdr>
        <w:top w:val="none" w:sz="0" w:space="0" w:color="auto"/>
        <w:left w:val="none" w:sz="0" w:space="0" w:color="auto"/>
        <w:bottom w:val="none" w:sz="0" w:space="0" w:color="auto"/>
        <w:right w:val="none" w:sz="0" w:space="0" w:color="auto"/>
      </w:divBdr>
    </w:div>
    <w:div w:id="349377882">
      <w:bodyDiv w:val="1"/>
      <w:marLeft w:val="0"/>
      <w:marRight w:val="0"/>
      <w:marTop w:val="0"/>
      <w:marBottom w:val="0"/>
      <w:divBdr>
        <w:top w:val="none" w:sz="0" w:space="0" w:color="auto"/>
        <w:left w:val="none" w:sz="0" w:space="0" w:color="auto"/>
        <w:bottom w:val="none" w:sz="0" w:space="0" w:color="auto"/>
        <w:right w:val="none" w:sz="0" w:space="0" w:color="auto"/>
      </w:divBdr>
      <w:divsChild>
        <w:div w:id="1172795871">
          <w:marLeft w:val="0"/>
          <w:marRight w:val="0"/>
          <w:marTop w:val="0"/>
          <w:marBottom w:val="0"/>
          <w:divBdr>
            <w:top w:val="none" w:sz="0" w:space="0" w:color="auto"/>
            <w:left w:val="none" w:sz="0" w:space="0" w:color="auto"/>
            <w:bottom w:val="none" w:sz="0" w:space="0" w:color="auto"/>
            <w:right w:val="none" w:sz="0" w:space="0" w:color="auto"/>
          </w:divBdr>
        </w:div>
      </w:divsChild>
    </w:div>
    <w:div w:id="391925579">
      <w:bodyDiv w:val="1"/>
      <w:marLeft w:val="0"/>
      <w:marRight w:val="0"/>
      <w:marTop w:val="0"/>
      <w:marBottom w:val="0"/>
      <w:divBdr>
        <w:top w:val="none" w:sz="0" w:space="0" w:color="auto"/>
        <w:left w:val="none" w:sz="0" w:space="0" w:color="auto"/>
        <w:bottom w:val="none" w:sz="0" w:space="0" w:color="auto"/>
        <w:right w:val="none" w:sz="0" w:space="0" w:color="auto"/>
      </w:divBdr>
    </w:div>
    <w:div w:id="471021935">
      <w:bodyDiv w:val="1"/>
      <w:marLeft w:val="0"/>
      <w:marRight w:val="0"/>
      <w:marTop w:val="0"/>
      <w:marBottom w:val="0"/>
      <w:divBdr>
        <w:top w:val="none" w:sz="0" w:space="0" w:color="auto"/>
        <w:left w:val="none" w:sz="0" w:space="0" w:color="auto"/>
        <w:bottom w:val="none" w:sz="0" w:space="0" w:color="auto"/>
        <w:right w:val="none" w:sz="0" w:space="0" w:color="auto"/>
      </w:divBdr>
      <w:divsChild>
        <w:div w:id="1952323366">
          <w:marLeft w:val="0"/>
          <w:marRight w:val="0"/>
          <w:marTop w:val="0"/>
          <w:marBottom w:val="0"/>
          <w:divBdr>
            <w:top w:val="none" w:sz="0" w:space="0" w:color="auto"/>
            <w:left w:val="none" w:sz="0" w:space="0" w:color="auto"/>
            <w:bottom w:val="none" w:sz="0" w:space="0" w:color="auto"/>
            <w:right w:val="none" w:sz="0" w:space="0" w:color="auto"/>
          </w:divBdr>
        </w:div>
      </w:divsChild>
    </w:div>
    <w:div w:id="873663745">
      <w:bodyDiv w:val="1"/>
      <w:marLeft w:val="0"/>
      <w:marRight w:val="0"/>
      <w:marTop w:val="0"/>
      <w:marBottom w:val="0"/>
      <w:divBdr>
        <w:top w:val="none" w:sz="0" w:space="0" w:color="auto"/>
        <w:left w:val="none" w:sz="0" w:space="0" w:color="auto"/>
        <w:bottom w:val="none" w:sz="0" w:space="0" w:color="auto"/>
        <w:right w:val="none" w:sz="0" w:space="0" w:color="auto"/>
      </w:divBdr>
    </w:div>
    <w:div w:id="1266616634">
      <w:bodyDiv w:val="1"/>
      <w:marLeft w:val="0"/>
      <w:marRight w:val="0"/>
      <w:marTop w:val="0"/>
      <w:marBottom w:val="0"/>
      <w:divBdr>
        <w:top w:val="none" w:sz="0" w:space="0" w:color="auto"/>
        <w:left w:val="none" w:sz="0" w:space="0" w:color="auto"/>
        <w:bottom w:val="none" w:sz="0" w:space="0" w:color="auto"/>
        <w:right w:val="none" w:sz="0" w:space="0" w:color="auto"/>
      </w:divBdr>
    </w:div>
    <w:div w:id="1565675624">
      <w:bodyDiv w:val="1"/>
      <w:marLeft w:val="0"/>
      <w:marRight w:val="0"/>
      <w:marTop w:val="0"/>
      <w:marBottom w:val="0"/>
      <w:divBdr>
        <w:top w:val="none" w:sz="0" w:space="0" w:color="auto"/>
        <w:left w:val="none" w:sz="0" w:space="0" w:color="auto"/>
        <w:bottom w:val="none" w:sz="0" w:space="0" w:color="auto"/>
        <w:right w:val="none" w:sz="0" w:space="0" w:color="auto"/>
      </w:divBdr>
    </w:div>
    <w:div w:id="1677996725">
      <w:bodyDiv w:val="1"/>
      <w:marLeft w:val="0"/>
      <w:marRight w:val="0"/>
      <w:marTop w:val="0"/>
      <w:marBottom w:val="0"/>
      <w:divBdr>
        <w:top w:val="none" w:sz="0" w:space="0" w:color="auto"/>
        <w:left w:val="none" w:sz="0" w:space="0" w:color="auto"/>
        <w:bottom w:val="none" w:sz="0" w:space="0" w:color="auto"/>
        <w:right w:val="none" w:sz="0" w:space="0" w:color="auto"/>
      </w:divBdr>
      <w:divsChild>
        <w:div w:id="13363458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5.safelinks.protection.outlook.com/?url=https%3A%2F%2Fclick.e2.aicpa.org%2F%3Fqs%3D192de99450c5929af439694fb8647527a05a26333e38c0d6a4fc5f2be4c7be73e2b426ecd352334270a08d8f76c519710c5244913e500bbf&amp;data=02%7C01%7CIan.MacKay%40aicpa-cima.com%7Ce6717cb8e12a4e8c49b808d7a34b1204%7Cab44e261e3294327bbdd17a5478226a1%7C1%7C0%7C637157415148250562&amp;sdata=pXUKjC7hvOKAYkyFC6y9nYGCqZdwvJwEHx%2BhPOvEKAo%3D&amp;reserved=0" TargetMode="External"/><Relationship Id="rId18" Type="http://schemas.openxmlformats.org/officeDocument/2006/relationships/hyperlink" Target="https://www.journalofaccountancy.com/news/2020/may/coronavirus-concerns-for-esop-auditors.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rs.gov/retirement-plans/partial-termination-of-plan" TargetMode="External"/><Relationship Id="rId17" Type="http://schemas.openxmlformats.org/officeDocument/2006/relationships/hyperlink" Target="https://www.journalofaccountancy.com/issues/2020/may/auditing-during-coronavirus-pandemic.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journalofaccountancy.com/news/2020/jun/employee-benefit-plan-financial-statements-coronavirus-considerations.html" TargetMode="External"/><Relationship Id="rId20" Type="http://schemas.openxmlformats.org/officeDocument/2006/relationships/hyperlink" Target="https://www.journalofaccountancy.com/news/2020/apr/auditing-with-changed-controls-during-coronavirus-pandemi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ture.aicpa.org/resources/download/aicpa-risk-assessment-resourc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nam05.safelinks.protection.outlook.com/?url=https%3A%2F%2Fclick.e2.aicpa.org%2F%3Fqs%3D45c452f5f48392d9ece91d4ca2b800fcf78cfcb8335e25b66a570630710a594cda7ea87b5e1b0a0f103846ecb7354404067b611d4c8ff476&amp;data=02%7C01%7CIan.MacKay%40aicpa-cima.com%7C56ae1318637846f0bd9d08d8072bbce1%7Cab44e261e3294327bbdd17a5478226a1%7C1%7C0%7C637267231732999075&amp;sdata=ufQgecOPkzFTkDUilV96D6sYuacrNAd9686Pez%2F68LQ%3D&amp;reserve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ournalofaccountancy.com/news/2020/may/overcoming-auditing-site-visit-limitations-during-coronavirus-pandemic.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bill/116th-congress/house-bill/748/text?q=%7B%22search%22%3A%5B%22CARES%22%5D%7D&amp;r=1&amp;s=6&amp;utm_medium=email&amp;SubscriberID=110098857&amp;utm_source=EBPQAC20&amp;Site=AICPA&amp;LinkID=8795820&amp;utm_campaign=EBPAQC_AlertMAR444&amp;cid=email:EBPQAC20:EBPAQC_AlertMAR444:https%3a%2f%2fwww.congress.gov%2fbill%2f116th-congress%2fhouse-bill%2f748%2ftext%3fq%3d%257B%2522search%2522%253A%255B%2522CARES%2522%255D%257D%26r%3d1%26s%3d6:AICPA&amp;SendID=267844&amp;utm_content=A20MAR444_EBPAQC_Alert444"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A63901ABD2F479510BD35D28CFDEC" ma:contentTypeVersion="10" ma:contentTypeDescription="Create a new document." ma:contentTypeScope="" ma:versionID="95e391ccef574eff0461ae334fe1087e">
  <xsd:schema xmlns:xsd="http://www.w3.org/2001/XMLSchema" xmlns:xs="http://www.w3.org/2001/XMLSchema" xmlns:p="http://schemas.microsoft.com/office/2006/metadata/properties" xmlns:ns3="22a52818-17cc-45b0-adb2-7429437c2472" targetNamespace="http://schemas.microsoft.com/office/2006/metadata/properties" ma:root="true" ma:fieldsID="7df9144cbf4ff818a699e1a6d9fe23eb" ns3:_="">
    <xsd:import namespace="22a52818-17cc-45b0-adb2-7429437c24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52818-17cc-45b0-adb2-7429437c2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8D04137-988C-4C19-8CB0-672386AC3D31}">
  <ds:schemaRef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22a52818-17cc-45b0-adb2-7429437c2472"/>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D331F48-5506-45C8-9FA1-830DA8B8FA56}">
  <ds:schemaRefs>
    <ds:schemaRef ds:uri="http://schemas.microsoft.com/sharepoint/v3/contenttype/forms"/>
  </ds:schemaRefs>
</ds:datastoreItem>
</file>

<file path=customXml/itemProps3.xml><?xml version="1.0" encoding="utf-8"?>
<ds:datastoreItem xmlns:ds="http://schemas.openxmlformats.org/officeDocument/2006/customXml" ds:itemID="{9D56B1C4-235F-464D-B7DE-B867999BB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52818-17cc-45b0-adb2-7429437c2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E97AF-EECA-4B30-9700-22A283F0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EBOAQC 2020 Special Audit Consideration</vt:lpstr>
    </vt:vector>
  </TitlesOfParts>
  <Company/>
  <LinksUpToDate>false</LinksUpToDate>
  <CharactersWithSpaces>22245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EBPAQC 2020 Special Audit Consideration</dc:title>
  <dc:subject/>
  <dc:creator>Microsoft Office User</dc:creator>
  <cp:keywords/>
  <dc:description/>
  <cp:lastModifiedBy>Cynthia Dillon</cp:lastModifiedBy>
  <cp:revision>3</cp:revision>
  <cp:lastPrinted>2020-06-29T13:23:00Z</cp:lastPrinted>
  <dcterms:created xsi:type="dcterms:W3CDTF">2020-06-30T20:09:00Z</dcterms:created>
  <dcterms:modified xsi:type="dcterms:W3CDTF">2020-06-30T20:20:00Z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0x010100C5DA63901ABD2F479510BD35D28CFDEC</vt:lpwstr>
  </property>
</Properties>
</file>