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8AB6" w14:textId="77777777" w:rsidR="00087B2D" w:rsidRDefault="00087B2D" w:rsidP="00087B2D">
      <w:pPr>
        <w:pStyle w:val="psparanumber"/>
        <w:spacing w:after="0"/>
        <w:ind w:left="0" w:firstLine="0"/>
        <w:rPr>
          <w:b/>
          <w:bCs/>
          <w:sz w:val="28"/>
          <w:szCs w:val="28"/>
        </w:rPr>
      </w:pPr>
      <w:r w:rsidRPr="005447DD">
        <w:rPr>
          <w:b/>
          <w:bCs/>
          <w:sz w:val="28"/>
          <w:szCs w:val="28"/>
        </w:rPr>
        <w:t xml:space="preserve">Wording to be Included in </w:t>
      </w:r>
      <w:r>
        <w:rPr>
          <w:b/>
          <w:bCs/>
          <w:sz w:val="28"/>
          <w:szCs w:val="28"/>
        </w:rPr>
        <w:t>the EBP</w:t>
      </w:r>
      <w:r w:rsidRPr="005447DD">
        <w:rPr>
          <w:b/>
          <w:bCs/>
          <w:sz w:val="28"/>
          <w:szCs w:val="28"/>
        </w:rPr>
        <w:t xml:space="preserve"> Guide:</w:t>
      </w:r>
    </w:p>
    <w:p w14:paraId="2F3F2778" w14:textId="77777777" w:rsidR="00087B2D" w:rsidRPr="00C92AFD" w:rsidRDefault="00087B2D" w:rsidP="00087B2D">
      <w:pPr>
        <w:pStyle w:val="psparanumber"/>
        <w:ind w:left="0" w:firstLine="0"/>
        <w:rPr>
          <w:b/>
          <w:bCs/>
          <w:sz w:val="28"/>
          <w:szCs w:val="28"/>
        </w:rPr>
      </w:pPr>
      <w:r>
        <w:rPr>
          <w:b/>
          <w:bCs/>
          <w:sz w:val="28"/>
          <w:szCs w:val="28"/>
        </w:rPr>
        <w:t>Revenue from Contracts with Customers</w:t>
      </w:r>
    </w:p>
    <w:p w14:paraId="24DA0365" w14:textId="77777777" w:rsidR="00087B2D" w:rsidRDefault="00087B2D" w:rsidP="00087B2D">
      <w:pPr>
        <w:pStyle w:val="psindent0"/>
        <w:tabs>
          <w:tab w:val="clear" w:pos="360"/>
          <w:tab w:val="left" w:pos="810"/>
        </w:tabs>
        <w:spacing w:before="0" w:after="0"/>
        <w:ind w:left="1080" w:hanging="1080"/>
      </w:pPr>
      <w:r>
        <w:rPr>
          <w:b/>
          <w:bCs/>
        </w:rPr>
        <w:t>2.156A</w:t>
      </w:r>
      <w:r>
        <w:rPr>
          <w:b/>
          <w:bCs/>
        </w:rPr>
        <w:tab/>
        <w:t xml:space="preserve"> </w:t>
      </w:r>
      <w:r>
        <w:rPr>
          <w:b/>
          <w:bCs/>
        </w:rPr>
        <w:tab/>
      </w:r>
      <w:r>
        <w:rPr>
          <w:b/>
          <w:bCs/>
        </w:rPr>
        <w:tab/>
      </w:r>
      <w:r>
        <w:t xml:space="preserve">Per “Pending Content” in FASB ASC 606-10-10-1, FASB ASC 606, </w:t>
      </w:r>
      <w:r>
        <w:rPr>
          <w:i/>
          <w:iCs/>
        </w:rPr>
        <w:t>Revenue from Contracts with Customers</w:t>
      </w:r>
      <w:r>
        <w:t>, establishes principles for reporting useful information to users of financial statements about the nature, amount, timing and uncertainty of revenue and cash flows arising from the entity’s contracts with customers.  “Pending Content” in FASB ASC 606-10-10-2 states that to meet the objectives of FASB ASC 606-10-10-1, an entity shall recognize revenue to depict the transfer of promised goods or services to customers in an amount that reflects the consideration to which an entity expects to be entitled in exchange for those goods or services.  In accordance with “Pending Content” in FASB ASC 606-10-15-2, an entity shall apply the guidance in FASB ASC 606 to all contracts with customers except the following:</w:t>
      </w:r>
    </w:p>
    <w:p w14:paraId="5AC0FEE3" w14:textId="77777777" w:rsidR="00087B2D" w:rsidRPr="00687F48" w:rsidRDefault="00087B2D" w:rsidP="00087B2D">
      <w:pPr>
        <w:pStyle w:val="psindent0"/>
        <w:numPr>
          <w:ilvl w:val="0"/>
          <w:numId w:val="4"/>
        </w:numPr>
        <w:tabs>
          <w:tab w:val="clear" w:pos="360"/>
          <w:tab w:val="left" w:pos="810"/>
        </w:tabs>
        <w:spacing w:before="0" w:after="0"/>
      </w:pPr>
      <w:r>
        <w:t xml:space="preserve">Lease contracts within the scope of FASB ASC 842, </w:t>
      </w:r>
      <w:r>
        <w:rPr>
          <w:i/>
          <w:iCs/>
        </w:rPr>
        <w:t>Leases</w:t>
      </w:r>
    </w:p>
    <w:p w14:paraId="38FF2DB5" w14:textId="77777777" w:rsidR="00087B2D" w:rsidRPr="00687F48" w:rsidRDefault="00087B2D" w:rsidP="00087B2D">
      <w:pPr>
        <w:pStyle w:val="psindent0"/>
        <w:numPr>
          <w:ilvl w:val="0"/>
          <w:numId w:val="4"/>
        </w:numPr>
        <w:tabs>
          <w:tab w:val="clear" w:pos="360"/>
          <w:tab w:val="left" w:pos="810"/>
        </w:tabs>
        <w:spacing w:before="0" w:after="0"/>
      </w:pPr>
      <w:r>
        <w:t xml:space="preserve">Contracts within the scope of FASB ASC 944, </w:t>
      </w:r>
      <w:r>
        <w:rPr>
          <w:i/>
          <w:iCs/>
        </w:rPr>
        <w:t>Financial Services – Insurance</w:t>
      </w:r>
    </w:p>
    <w:p w14:paraId="308955D1" w14:textId="77777777" w:rsidR="00087B2D" w:rsidRDefault="00087B2D" w:rsidP="00087B2D">
      <w:pPr>
        <w:pStyle w:val="psindent0"/>
        <w:numPr>
          <w:ilvl w:val="0"/>
          <w:numId w:val="4"/>
        </w:numPr>
        <w:tabs>
          <w:tab w:val="clear" w:pos="360"/>
          <w:tab w:val="left" w:pos="810"/>
        </w:tabs>
        <w:spacing w:before="0" w:after="0"/>
      </w:pPr>
      <w:r>
        <w:t>Financial Instruments and other contractual rights or obligations within the scope of the following:</w:t>
      </w:r>
    </w:p>
    <w:p w14:paraId="1FADFD55" w14:textId="77777777" w:rsidR="00087B2D" w:rsidRPr="00687F48" w:rsidRDefault="00087B2D" w:rsidP="00087B2D">
      <w:pPr>
        <w:pStyle w:val="psindent0"/>
        <w:numPr>
          <w:ilvl w:val="1"/>
          <w:numId w:val="4"/>
        </w:numPr>
        <w:tabs>
          <w:tab w:val="clear" w:pos="360"/>
          <w:tab w:val="left" w:pos="810"/>
        </w:tabs>
        <w:spacing w:before="0" w:after="0"/>
      </w:pPr>
      <w:r>
        <w:t xml:space="preserve">FASB ASC 310, </w:t>
      </w:r>
      <w:r>
        <w:rPr>
          <w:i/>
          <w:iCs/>
        </w:rPr>
        <w:t>Receivables</w:t>
      </w:r>
    </w:p>
    <w:p w14:paraId="70DC6783" w14:textId="77777777" w:rsidR="00087B2D" w:rsidRPr="00687F48" w:rsidRDefault="00087B2D" w:rsidP="00087B2D">
      <w:pPr>
        <w:pStyle w:val="psindent0"/>
        <w:numPr>
          <w:ilvl w:val="1"/>
          <w:numId w:val="4"/>
        </w:numPr>
        <w:tabs>
          <w:tab w:val="clear" w:pos="360"/>
          <w:tab w:val="left" w:pos="810"/>
        </w:tabs>
        <w:spacing w:before="0" w:after="0"/>
      </w:pPr>
      <w:r>
        <w:t xml:space="preserve">FASB ASC 320, </w:t>
      </w:r>
      <w:r>
        <w:rPr>
          <w:i/>
          <w:iCs/>
        </w:rPr>
        <w:t>Investments—Debt Securities</w:t>
      </w:r>
    </w:p>
    <w:p w14:paraId="527C1149" w14:textId="77777777" w:rsidR="00087B2D" w:rsidRPr="00687F48" w:rsidRDefault="00087B2D" w:rsidP="00087B2D">
      <w:pPr>
        <w:pStyle w:val="psindent0"/>
        <w:numPr>
          <w:ilvl w:val="1"/>
          <w:numId w:val="4"/>
        </w:numPr>
        <w:tabs>
          <w:tab w:val="clear" w:pos="360"/>
          <w:tab w:val="left" w:pos="810"/>
        </w:tabs>
        <w:spacing w:before="0" w:after="0"/>
      </w:pPr>
      <w:r>
        <w:t xml:space="preserve">FASB ASC 321, </w:t>
      </w:r>
      <w:r>
        <w:rPr>
          <w:i/>
          <w:iCs/>
        </w:rPr>
        <w:t>Investments—Equity Securities</w:t>
      </w:r>
    </w:p>
    <w:p w14:paraId="7CB011BB" w14:textId="77777777" w:rsidR="00087B2D" w:rsidRPr="00687F48" w:rsidRDefault="00087B2D" w:rsidP="00087B2D">
      <w:pPr>
        <w:pStyle w:val="psindent0"/>
        <w:numPr>
          <w:ilvl w:val="1"/>
          <w:numId w:val="4"/>
        </w:numPr>
        <w:tabs>
          <w:tab w:val="clear" w:pos="360"/>
          <w:tab w:val="left" w:pos="810"/>
        </w:tabs>
        <w:spacing w:before="0" w:after="0"/>
      </w:pPr>
      <w:r>
        <w:t xml:space="preserve">FASB ASC 323, </w:t>
      </w:r>
      <w:r>
        <w:rPr>
          <w:i/>
          <w:iCs/>
        </w:rPr>
        <w:t xml:space="preserve">Investments—Equity Method </w:t>
      </w:r>
    </w:p>
    <w:p w14:paraId="09A52893" w14:textId="77777777" w:rsidR="00087B2D" w:rsidRPr="00AF19A4" w:rsidRDefault="00087B2D" w:rsidP="00087B2D">
      <w:pPr>
        <w:pStyle w:val="psindent0"/>
        <w:numPr>
          <w:ilvl w:val="1"/>
          <w:numId w:val="4"/>
        </w:numPr>
        <w:tabs>
          <w:tab w:val="clear" w:pos="360"/>
          <w:tab w:val="left" w:pos="810"/>
        </w:tabs>
        <w:spacing w:before="0" w:after="0"/>
      </w:pPr>
      <w:r>
        <w:t xml:space="preserve">FASB ASC 325, </w:t>
      </w:r>
      <w:r>
        <w:rPr>
          <w:i/>
          <w:iCs/>
        </w:rPr>
        <w:t>Investments—Other</w:t>
      </w:r>
    </w:p>
    <w:p w14:paraId="201249C6" w14:textId="77777777" w:rsidR="00087B2D" w:rsidRPr="00AF19A4" w:rsidRDefault="00087B2D" w:rsidP="00087B2D">
      <w:pPr>
        <w:pStyle w:val="psindent0"/>
        <w:numPr>
          <w:ilvl w:val="1"/>
          <w:numId w:val="4"/>
        </w:numPr>
        <w:tabs>
          <w:tab w:val="clear" w:pos="360"/>
          <w:tab w:val="left" w:pos="810"/>
        </w:tabs>
        <w:spacing w:before="0" w:after="0"/>
      </w:pPr>
      <w:r>
        <w:t xml:space="preserve">FASB ASC 405, </w:t>
      </w:r>
      <w:r>
        <w:rPr>
          <w:i/>
          <w:iCs/>
        </w:rPr>
        <w:t>Liabilities</w:t>
      </w:r>
    </w:p>
    <w:p w14:paraId="78A4F782" w14:textId="77777777" w:rsidR="00087B2D" w:rsidRPr="00AF19A4" w:rsidRDefault="00087B2D" w:rsidP="00087B2D">
      <w:pPr>
        <w:pStyle w:val="psindent0"/>
        <w:numPr>
          <w:ilvl w:val="1"/>
          <w:numId w:val="4"/>
        </w:numPr>
        <w:tabs>
          <w:tab w:val="clear" w:pos="360"/>
          <w:tab w:val="left" w:pos="810"/>
        </w:tabs>
        <w:spacing w:before="0" w:after="0"/>
      </w:pPr>
      <w:r>
        <w:t xml:space="preserve">FASB ASC 815, </w:t>
      </w:r>
      <w:r>
        <w:rPr>
          <w:i/>
          <w:iCs/>
        </w:rPr>
        <w:t>Derivatives and Hedging</w:t>
      </w:r>
    </w:p>
    <w:p w14:paraId="6BB83A79" w14:textId="77777777" w:rsidR="00087B2D" w:rsidRPr="00AF19A4" w:rsidRDefault="00087B2D" w:rsidP="00087B2D">
      <w:pPr>
        <w:pStyle w:val="psindent0"/>
        <w:numPr>
          <w:ilvl w:val="1"/>
          <w:numId w:val="4"/>
        </w:numPr>
        <w:tabs>
          <w:tab w:val="clear" w:pos="360"/>
          <w:tab w:val="left" w:pos="810"/>
        </w:tabs>
        <w:spacing w:before="0" w:after="0"/>
      </w:pPr>
      <w:r>
        <w:t xml:space="preserve">FASB ASC 825, </w:t>
      </w:r>
      <w:r>
        <w:rPr>
          <w:i/>
          <w:iCs/>
        </w:rPr>
        <w:t>Financial Instruments</w:t>
      </w:r>
    </w:p>
    <w:p w14:paraId="15A824BA" w14:textId="77777777" w:rsidR="00087B2D" w:rsidRPr="00AF19A4" w:rsidRDefault="00087B2D" w:rsidP="00087B2D">
      <w:pPr>
        <w:pStyle w:val="psindent0"/>
        <w:numPr>
          <w:ilvl w:val="1"/>
          <w:numId w:val="4"/>
        </w:numPr>
        <w:tabs>
          <w:tab w:val="clear" w:pos="360"/>
          <w:tab w:val="left" w:pos="810"/>
        </w:tabs>
        <w:spacing w:before="0" w:after="0"/>
      </w:pPr>
      <w:r>
        <w:t xml:space="preserve">FASB ASC 860, </w:t>
      </w:r>
      <w:r>
        <w:rPr>
          <w:i/>
          <w:iCs/>
        </w:rPr>
        <w:t>Transfers and Servicing</w:t>
      </w:r>
    </w:p>
    <w:p w14:paraId="6E95B548" w14:textId="77777777" w:rsidR="00087B2D" w:rsidRPr="00AF19A4" w:rsidRDefault="00087B2D" w:rsidP="00087B2D">
      <w:pPr>
        <w:pStyle w:val="psindent0"/>
        <w:numPr>
          <w:ilvl w:val="0"/>
          <w:numId w:val="4"/>
        </w:numPr>
        <w:tabs>
          <w:tab w:val="clear" w:pos="360"/>
          <w:tab w:val="left" w:pos="810"/>
        </w:tabs>
        <w:spacing w:before="0" w:after="0"/>
      </w:pPr>
      <w:r>
        <w:t xml:space="preserve">Guarantees (other than product or service warranties) within the scope of FASB ASC 460, </w:t>
      </w:r>
      <w:r>
        <w:rPr>
          <w:i/>
          <w:iCs/>
        </w:rPr>
        <w:t>Guarantees</w:t>
      </w:r>
    </w:p>
    <w:p w14:paraId="00587077" w14:textId="77777777" w:rsidR="00087B2D" w:rsidRDefault="00087B2D" w:rsidP="00087B2D">
      <w:pPr>
        <w:pStyle w:val="psindent0"/>
        <w:numPr>
          <w:ilvl w:val="0"/>
          <w:numId w:val="4"/>
        </w:numPr>
        <w:tabs>
          <w:tab w:val="clear" w:pos="360"/>
          <w:tab w:val="left" w:pos="810"/>
        </w:tabs>
        <w:spacing w:before="0" w:after="0"/>
      </w:pPr>
      <w:r>
        <w:t xml:space="preserve">Nonmonetary exchanges between entities in the same line of business to facilitate sales to customers or potential customers.  </w:t>
      </w:r>
    </w:p>
    <w:p w14:paraId="1B22655D" w14:textId="77777777" w:rsidR="00087B2D" w:rsidRPr="00783CF1" w:rsidRDefault="00087B2D" w:rsidP="00087B2D">
      <w:pPr>
        <w:tabs>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080" w:hanging="990"/>
        <w:rPr>
          <w:rFonts w:ascii="Times New Roman" w:eastAsia="Times New Roman" w:hAnsi="Times New Roman" w:cs="Times New Roman"/>
          <w:b/>
          <w:bCs/>
        </w:rPr>
      </w:pPr>
      <w:r w:rsidRPr="00867013">
        <w:rPr>
          <w:rFonts w:ascii="Times New Roman" w:hAnsi="Times New Roman" w:cs="Times New Roman"/>
        </w:rPr>
        <w:t xml:space="preserve">2.156B  </w:t>
      </w:r>
      <w:r w:rsidRPr="00867013">
        <w:rPr>
          <w:rFonts w:ascii="Times New Roman" w:hAnsi="Times New Roman" w:cs="Times New Roman"/>
        </w:rPr>
        <w:tab/>
      </w:r>
      <w:r w:rsidRPr="00783CF1">
        <w:rPr>
          <w:rFonts w:ascii="Times New Roman" w:hAnsi="Times New Roman" w:cs="Times New Roman"/>
        </w:rPr>
        <w:t>Per “Pending Content” in FASB ASC 606-10-15-3, an entity should apply the guidance</w:t>
      </w:r>
      <w:r>
        <w:rPr>
          <w:rFonts w:ascii="Times New Roman" w:hAnsi="Times New Roman" w:cs="Times New Roman"/>
        </w:rPr>
        <w:t xml:space="preserve"> </w:t>
      </w:r>
      <w:r w:rsidRPr="00783CF1">
        <w:rPr>
          <w:rFonts w:ascii="Times New Roman" w:hAnsi="Times New Roman" w:cs="Times New Roman"/>
        </w:rPr>
        <w:t>in FASB ASC 606 to a contract only if the counterparty to the contract is a customer.  A customer is a party that has contracted with an entity to obtain goods or services that are an output of the entity’s ordinary activities in exchange for consideration.</w:t>
      </w:r>
    </w:p>
    <w:p w14:paraId="119769FE" w14:textId="77777777" w:rsidR="00087B2D" w:rsidRPr="00867013" w:rsidRDefault="00087B2D" w:rsidP="00087B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080" w:hanging="990"/>
        <w:rPr>
          <w:rFonts w:ascii="Times New Roman" w:eastAsia="Calibri" w:hAnsi="Times New Roman" w:cs="Times New Roman"/>
        </w:rPr>
      </w:pPr>
      <w:r w:rsidRPr="00867013">
        <w:rPr>
          <w:rFonts w:ascii="Times New Roman" w:eastAsia="Times New Roman" w:hAnsi="Times New Roman" w:cs="Times New Roman"/>
        </w:rPr>
        <w:t xml:space="preserve">2.156C </w:t>
      </w:r>
      <w:r w:rsidRPr="00867013">
        <w:rPr>
          <w:rFonts w:ascii="Times New Roman" w:eastAsia="Times New Roman" w:hAnsi="Times New Roman" w:cs="Times New Roman"/>
        </w:rPr>
        <w:tab/>
      </w:r>
      <w:proofErr w:type="gramStart"/>
      <w:r w:rsidRPr="00867013">
        <w:rPr>
          <w:rFonts w:ascii="Times New Roman" w:eastAsia="Calibri" w:hAnsi="Times New Roman" w:cs="Times New Roman"/>
        </w:rPr>
        <w:t>The</w:t>
      </w:r>
      <w:proofErr w:type="gramEnd"/>
      <w:r w:rsidRPr="00867013">
        <w:rPr>
          <w:rFonts w:ascii="Times New Roman" w:eastAsia="Calibri" w:hAnsi="Times New Roman" w:cs="Times New Roman"/>
        </w:rPr>
        <w:t xml:space="preserve"> cash inflows in employee benefit plans consist mainly of contributions. </w:t>
      </w:r>
      <w:proofErr w:type="spellStart"/>
      <w:r w:rsidRPr="00867013">
        <w:rPr>
          <w:rFonts w:ascii="Times New Roman" w:eastAsia="Calibri" w:hAnsi="Times New Roman" w:cs="Times New Roman"/>
        </w:rPr>
        <w:t>FinREC</w:t>
      </w:r>
      <w:proofErr w:type="spellEnd"/>
      <w:r w:rsidRPr="00867013">
        <w:rPr>
          <w:rFonts w:ascii="Times New Roman" w:eastAsia="Calibri" w:hAnsi="Times New Roman" w:cs="Times New Roman"/>
        </w:rPr>
        <w:t xml:space="preserve"> believes that employees (plan participants) and employers (plan sponsors), regardless of plan type, are not considered customers as defined by FASB ASC 606, as neither </w:t>
      </w:r>
      <w:r w:rsidRPr="00867013">
        <w:rPr>
          <w:rFonts w:ascii="Times New Roman" w:eastAsia="Calibri" w:hAnsi="Times New Roman" w:cs="Times New Roman"/>
        </w:rPr>
        <w:lastRenderedPageBreak/>
        <w:t xml:space="preserve">obtains goods or services that are an output of the entity’s ordinary activities in exchange for the contribution. Rather, </w:t>
      </w:r>
      <w:r w:rsidRPr="00867013">
        <w:rPr>
          <w:rFonts w:ascii="Times New Roman" w:eastAsia="Times New Roman" w:hAnsi="Times New Roman" w:cs="Times New Roman"/>
        </w:rPr>
        <w:t xml:space="preserve">employee and employer contributions to defined contribution retirement and defined benefit pension plans are </w:t>
      </w:r>
      <w:proofErr w:type="gramStart"/>
      <w:r w:rsidRPr="00867013">
        <w:rPr>
          <w:rFonts w:ascii="Times New Roman" w:eastAsia="Times New Roman" w:hAnsi="Times New Roman" w:cs="Times New Roman"/>
        </w:rPr>
        <w:t>similar to</w:t>
      </w:r>
      <w:proofErr w:type="gramEnd"/>
      <w:r w:rsidRPr="00867013">
        <w:rPr>
          <w:rFonts w:ascii="Times New Roman" w:eastAsia="Times New Roman" w:hAnsi="Times New Roman" w:cs="Times New Roman"/>
        </w:rPr>
        <w:t xml:space="preserve"> deposits held for the benefit of the participant, and the plan acts as the vehicle for plan investments. As such, </w:t>
      </w:r>
      <w:proofErr w:type="spellStart"/>
      <w:r w:rsidRPr="00867013">
        <w:rPr>
          <w:rFonts w:ascii="Times New Roman" w:eastAsia="Times New Roman" w:hAnsi="Times New Roman" w:cs="Times New Roman"/>
        </w:rPr>
        <w:t>FinREC</w:t>
      </w:r>
      <w:proofErr w:type="spellEnd"/>
      <w:r w:rsidRPr="00867013">
        <w:rPr>
          <w:rFonts w:ascii="Times New Roman" w:eastAsia="Times New Roman" w:hAnsi="Times New Roman" w:cs="Times New Roman"/>
        </w:rPr>
        <w:t xml:space="preserve"> believes that </w:t>
      </w:r>
      <w:r w:rsidRPr="00867013">
        <w:rPr>
          <w:rFonts w:ascii="Times New Roman" w:eastAsia="Calibri" w:hAnsi="Times New Roman" w:cs="Times New Roman"/>
        </w:rPr>
        <w:t>contributions are not considered revenue to a plan.</w:t>
      </w:r>
    </w:p>
    <w:p w14:paraId="78C9FA81" w14:textId="77777777" w:rsidR="00087B2D" w:rsidRPr="00867013" w:rsidRDefault="00087B2D" w:rsidP="00087B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080" w:hanging="990"/>
        <w:rPr>
          <w:rFonts w:ascii="Times New Roman" w:eastAsia="Calibri" w:hAnsi="Times New Roman" w:cs="Times New Roman"/>
        </w:rPr>
      </w:pPr>
      <w:r w:rsidRPr="00867013">
        <w:rPr>
          <w:rFonts w:ascii="Times New Roman" w:eastAsia="Times New Roman" w:hAnsi="Times New Roman" w:cs="Times New Roman"/>
        </w:rPr>
        <w:t xml:space="preserve">2.156D </w:t>
      </w:r>
      <w:r w:rsidRPr="00867013">
        <w:rPr>
          <w:rFonts w:ascii="Times New Roman" w:eastAsia="Times New Roman" w:hAnsi="Times New Roman" w:cs="Times New Roman"/>
        </w:rPr>
        <w:tab/>
        <w:t>As noted in chapter 5, t</w:t>
      </w:r>
      <w:r w:rsidRPr="00867013">
        <w:rPr>
          <w:rFonts w:ascii="Times New Roman" w:hAnsi="Times New Roman" w:cs="Times New Roman"/>
        </w:rPr>
        <w:t xml:space="preserve">he investment manager may agree to share a portion of its investment management fees to help reduce the costs of administrative services provided to the plan that would have otherwise been charged directly to the plan sponsor, the plan, or participants. </w:t>
      </w:r>
      <w:r w:rsidRPr="00867013">
        <w:rPr>
          <w:rFonts w:ascii="Times New Roman" w:eastAsia="Calibri" w:hAnsi="Times New Roman" w:cs="Times New Roman"/>
        </w:rPr>
        <w:t xml:space="preserve">For instances in which this “revenue sharing” exists, </w:t>
      </w:r>
      <w:proofErr w:type="spellStart"/>
      <w:r w:rsidRPr="00867013">
        <w:rPr>
          <w:rFonts w:ascii="Times New Roman" w:eastAsia="Calibri" w:hAnsi="Times New Roman" w:cs="Times New Roman"/>
        </w:rPr>
        <w:t>FinREC</w:t>
      </w:r>
      <w:proofErr w:type="spellEnd"/>
      <w:r w:rsidRPr="00867013">
        <w:rPr>
          <w:rFonts w:ascii="Times New Roman" w:eastAsia="Calibri" w:hAnsi="Times New Roman" w:cs="Times New Roman"/>
        </w:rPr>
        <w:t xml:space="preserve"> believes that, as these agreements are intended to reduce the cost of administrative services, any amounts paid to the plan under such arrangements should be reported as a reduction of fees paid by the plan and, are not considered revenues under FASB ASC 606.</w:t>
      </w:r>
    </w:p>
    <w:p w14:paraId="779C20C5" w14:textId="0A95F266" w:rsidR="00087B2D" w:rsidRPr="001A0539" w:rsidRDefault="00087B2D" w:rsidP="00087B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080" w:hanging="990"/>
        <w:rPr>
          <w:rFonts w:ascii="Times New Roman" w:eastAsia="Times New Roman" w:hAnsi="Times New Roman" w:cs="Times New Roman"/>
        </w:rPr>
      </w:pPr>
      <w:r w:rsidRPr="001A0539">
        <w:rPr>
          <w:rFonts w:ascii="Times New Roman" w:eastAsia="Times New Roman" w:hAnsi="Times New Roman" w:cs="Times New Roman"/>
        </w:rPr>
        <w:t xml:space="preserve">2.156E </w:t>
      </w:r>
      <w:r w:rsidRPr="001A0539">
        <w:rPr>
          <w:rFonts w:ascii="Times New Roman" w:eastAsia="Times New Roman" w:hAnsi="Times New Roman" w:cs="Times New Roman"/>
        </w:rPr>
        <w:tab/>
      </w:r>
      <w:proofErr w:type="gramStart"/>
      <w:r w:rsidRPr="001A0539">
        <w:rPr>
          <w:rFonts w:ascii="Times New Roman" w:eastAsia="Times New Roman" w:hAnsi="Times New Roman" w:cs="Times New Roman"/>
        </w:rPr>
        <w:t>In</w:t>
      </w:r>
      <w:proofErr w:type="gramEnd"/>
      <w:r w:rsidRPr="001A0539">
        <w:rPr>
          <w:rFonts w:ascii="Times New Roman" w:eastAsia="Times New Roman" w:hAnsi="Times New Roman" w:cs="Times New Roman"/>
        </w:rPr>
        <w:t xml:space="preserve"> multiemployer plans, a collective bargaining agreement is not considered a</w:t>
      </w:r>
      <w:r w:rsidR="0035753F">
        <w:rPr>
          <w:rFonts w:ascii="Times New Roman" w:eastAsia="Times New Roman" w:hAnsi="Times New Roman" w:cs="Times New Roman"/>
        </w:rPr>
        <w:t xml:space="preserve"> </w:t>
      </w:r>
      <w:r w:rsidRPr="001A0539">
        <w:rPr>
          <w:rFonts w:ascii="Times New Roman" w:eastAsia="Times New Roman" w:hAnsi="Times New Roman" w:cs="Times New Roman"/>
        </w:rPr>
        <w:t xml:space="preserve">contract between the plan and the plan participants, but rather is a contract between the employer and the union. However, in some situations, multiemployer plans may </w:t>
      </w:r>
      <w:proofErr w:type="gramStart"/>
      <w:r w:rsidRPr="001A0539">
        <w:rPr>
          <w:rFonts w:ascii="Times New Roman" w:eastAsia="Times New Roman" w:hAnsi="Times New Roman" w:cs="Times New Roman"/>
        </w:rPr>
        <w:t>enter into</w:t>
      </w:r>
      <w:proofErr w:type="gramEnd"/>
      <w:r w:rsidRPr="001A0539">
        <w:rPr>
          <w:rFonts w:ascii="Times New Roman" w:eastAsia="Times New Roman" w:hAnsi="Times New Roman" w:cs="Times New Roman"/>
        </w:rPr>
        <w:t xml:space="preserve"> contracts with plan participants. For example, when plan participants receive goods or services from the plan (such as books or tuition) and the participant pays the plan for those goods or services. In such instances, the transaction is considered a contract </w:t>
      </w:r>
      <w:r w:rsidR="004A7204">
        <w:rPr>
          <w:rFonts w:ascii="Times New Roman" w:eastAsia="Times New Roman" w:hAnsi="Times New Roman" w:cs="Times New Roman"/>
        </w:rPr>
        <w:t xml:space="preserve">with the customer </w:t>
      </w:r>
      <w:r w:rsidR="00FB7B11">
        <w:rPr>
          <w:rFonts w:ascii="Times New Roman" w:eastAsia="Times New Roman" w:hAnsi="Times New Roman" w:cs="Times New Roman"/>
        </w:rPr>
        <w:t>(</w:t>
      </w:r>
      <w:r w:rsidR="004A7204">
        <w:rPr>
          <w:rFonts w:ascii="Times New Roman" w:eastAsia="Times New Roman" w:hAnsi="Times New Roman" w:cs="Times New Roman"/>
        </w:rPr>
        <w:t xml:space="preserve">within the scope of </w:t>
      </w:r>
      <w:r w:rsidR="005C37C7">
        <w:rPr>
          <w:rFonts w:ascii="Times New Roman" w:eastAsia="Times New Roman" w:hAnsi="Times New Roman" w:cs="Times New Roman"/>
        </w:rPr>
        <w:t>FASB ASC 606</w:t>
      </w:r>
      <w:r w:rsidR="00FB7B11">
        <w:rPr>
          <w:rFonts w:ascii="Times New Roman" w:eastAsia="Times New Roman" w:hAnsi="Times New Roman" w:cs="Times New Roman"/>
        </w:rPr>
        <w:t>)</w:t>
      </w:r>
      <w:r w:rsidR="005C37C7">
        <w:rPr>
          <w:rFonts w:ascii="Times New Roman" w:eastAsia="Times New Roman" w:hAnsi="Times New Roman" w:cs="Times New Roman"/>
        </w:rPr>
        <w:t xml:space="preserve"> </w:t>
      </w:r>
      <w:r w:rsidRPr="001A0539">
        <w:rPr>
          <w:rFonts w:ascii="Times New Roman" w:eastAsia="Times New Roman" w:hAnsi="Times New Roman" w:cs="Times New Roman"/>
        </w:rPr>
        <w:t>between the plan and the participant</w:t>
      </w:r>
      <w:r w:rsidR="003F4DAA">
        <w:rPr>
          <w:rFonts w:ascii="Times New Roman" w:eastAsia="Times New Roman" w:hAnsi="Times New Roman" w:cs="Times New Roman"/>
        </w:rPr>
        <w:t>,</w:t>
      </w:r>
      <w:r w:rsidRPr="001A0539">
        <w:rPr>
          <w:rFonts w:ascii="Times New Roman" w:eastAsia="Times New Roman" w:hAnsi="Times New Roman" w:cs="Times New Roman"/>
        </w:rPr>
        <w:t xml:space="preserve"> to the extent that the criteria in FASB ASC 606-10-25-1 and 25-4 are met. </w:t>
      </w:r>
    </w:p>
    <w:p w14:paraId="3BA213C9" w14:textId="77777777" w:rsidR="00087B2D" w:rsidRPr="004651FF" w:rsidRDefault="00087B2D" w:rsidP="00087B2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080" w:hanging="990"/>
        <w:rPr>
          <w:rFonts w:ascii="Times New Roman" w:eastAsia="Times New Roman" w:hAnsi="Times New Roman" w:cs="Times New Roman"/>
        </w:rPr>
      </w:pPr>
      <w:r w:rsidRPr="004651FF">
        <w:rPr>
          <w:rFonts w:ascii="Times New Roman" w:eastAsia="Times New Roman" w:hAnsi="Times New Roman" w:cs="Times New Roman"/>
        </w:rPr>
        <w:t xml:space="preserve">2.156F </w:t>
      </w:r>
      <w:r w:rsidRPr="004651FF">
        <w:rPr>
          <w:rFonts w:ascii="Times New Roman" w:eastAsia="Times New Roman" w:hAnsi="Times New Roman" w:cs="Times New Roman"/>
        </w:rPr>
        <w:tab/>
        <w:t xml:space="preserve">Readers are encouraged to consult FASB ASC 606 for further information on revenue from contracts with customers. Also see Exhibit A-4, “Employee Benefit Plan Income Streams - FASB ASC 606 Applicability,” for a summary of typical income (cash inflow) streams in an employee benefit plan, and </w:t>
      </w:r>
      <w:proofErr w:type="spellStart"/>
      <w:r w:rsidRPr="004651FF">
        <w:rPr>
          <w:rFonts w:ascii="Times New Roman" w:eastAsia="Times New Roman" w:hAnsi="Times New Roman" w:cs="Times New Roman"/>
        </w:rPr>
        <w:t>FinREC’s</w:t>
      </w:r>
      <w:proofErr w:type="spellEnd"/>
      <w:r w:rsidRPr="004651FF">
        <w:rPr>
          <w:rFonts w:ascii="Times New Roman" w:eastAsia="Times New Roman" w:hAnsi="Times New Roman" w:cs="Times New Roman"/>
        </w:rPr>
        <w:t xml:space="preserve"> determination of whether such income streams are within the scope of FASB ASC 606.</w:t>
      </w:r>
    </w:p>
    <w:p w14:paraId="53DDE75A" w14:textId="269B82D0" w:rsidR="00087B2D" w:rsidRDefault="00087B2D" w:rsidP="00087B2D">
      <w:pPr>
        <w:rPr>
          <w:rFonts w:ascii="Times New Roman" w:hAnsi="Times New Roman" w:cs="Times New Roman"/>
          <w:b/>
          <w:bCs/>
          <w:u w:val="single"/>
        </w:rPr>
      </w:pPr>
      <w:r w:rsidRPr="006E4A97">
        <w:rPr>
          <w:rFonts w:ascii="Times New Roman" w:hAnsi="Times New Roman" w:cs="Times New Roman"/>
          <w:b/>
          <w:bCs/>
          <w:u w:val="single"/>
        </w:rPr>
        <w:t xml:space="preserve">Exhibit A-4 </w:t>
      </w:r>
    </w:p>
    <w:p w14:paraId="36F61B36" w14:textId="77777777" w:rsidR="009515F9" w:rsidRPr="006E4A97" w:rsidRDefault="009515F9" w:rsidP="00087B2D">
      <w:pPr>
        <w:rPr>
          <w:rFonts w:ascii="Times New Roman" w:hAnsi="Times New Roman" w:cs="Times New Roman"/>
          <w:b/>
          <w:bCs/>
          <w:u w:val="single"/>
        </w:rPr>
      </w:pPr>
    </w:p>
    <w:p w14:paraId="03013FAA" w14:textId="77777777" w:rsidR="00087B2D" w:rsidRPr="006E4A97" w:rsidRDefault="00087B2D" w:rsidP="00087B2D">
      <w:pPr>
        <w:jc w:val="center"/>
        <w:rPr>
          <w:rFonts w:ascii="Times New Roman" w:hAnsi="Times New Roman" w:cs="Times New Roman"/>
          <w:b/>
          <w:bCs/>
          <w:u w:val="single"/>
        </w:rPr>
      </w:pPr>
      <w:r w:rsidRPr="006E4A97">
        <w:rPr>
          <w:rFonts w:ascii="Times New Roman" w:hAnsi="Times New Roman" w:cs="Times New Roman"/>
          <w:b/>
          <w:bCs/>
          <w:u w:val="single"/>
        </w:rPr>
        <w:t xml:space="preserve">Employee Benefit Plan Income Streams </w:t>
      </w:r>
      <w:r>
        <w:rPr>
          <w:rFonts w:ascii="Times New Roman" w:hAnsi="Times New Roman" w:cs="Times New Roman"/>
          <w:b/>
          <w:bCs/>
          <w:u w:val="single"/>
        </w:rPr>
        <w:t xml:space="preserve">- </w:t>
      </w:r>
      <w:r w:rsidRPr="006E4A97">
        <w:rPr>
          <w:rFonts w:ascii="Times New Roman" w:hAnsi="Times New Roman" w:cs="Times New Roman"/>
          <w:b/>
          <w:bCs/>
          <w:u w:val="single"/>
        </w:rPr>
        <w:t>FASB ASC 606</w:t>
      </w:r>
      <w:r>
        <w:rPr>
          <w:rFonts w:ascii="Times New Roman" w:hAnsi="Times New Roman" w:cs="Times New Roman"/>
          <w:b/>
          <w:bCs/>
          <w:u w:val="single"/>
        </w:rPr>
        <w:t xml:space="preserve"> Applicability</w:t>
      </w:r>
    </w:p>
    <w:p w14:paraId="61F419AC" w14:textId="77777777" w:rsidR="00087B2D" w:rsidRPr="006E4A97" w:rsidRDefault="00087B2D" w:rsidP="00087B2D">
      <w:pPr>
        <w:rPr>
          <w:rFonts w:ascii="Times New Roman" w:hAnsi="Times New Roman" w:cs="Times New Roman"/>
          <w:b/>
          <w:bCs/>
          <w:u w:val="single"/>
        </w:rPr>
      </w:pPr>
    </w:p>
    <w:p w14:paraId="6C89CF2C" w14:textId="497994F7" w:rsidR="00087B2D" w:rsidRDefault="00087B2D" w:rsidP="00087B2D">
      <w:pPr>
        <w:rPr>
          <w:rFonts w:ascii="Times New Roman" w:hAnsi="Times New Roman" w:cs="Times New Roman"/>
          <w:iCs/>
          <w:color w:val="000000"/>
        </w:rPr>
      </w:pPr>
      <w:r w:rsidRPr="00976A76">
        <w:rPr>
          <w:rFonts w:ascii="Times New Roman" w:hAnsi="Times New Roman" w:cs="Times New Roman"/>
        </w:rPr>
        <w:t xml:space="preserve">The following table includes examples of typical income (cash inflow) streams in an employee benefit plan with considerations for </w:t>
      </w:r>
      <w:proofErr w:type="spellStart"/>
      <w:r w:rsidRPr="00976A76">
        <w:rPr>
          <w:rFonts w:ascii="Times New Roman" w:hAnsi="Times New Roman" w:cs="Times New Roman"/>
        </w:rPr>
        <w:t>FinREC’s</w:t>
      </w:r>
      <w:proofErr w:type="spellEnd"/>
      <w:r w:rsidRPr="00976A76">
        <w:rPr>
          <w:rFonts w:ascii="Times New Roman" w:hAnsi="Times New Roman" w:cs="Times New Roman"/>
        </w:rPr>
        <w:t xml:space="preserve"> determination of whether the income streams are subject to the guidance in FASB ASC 606</w:t>
      </w:r>
      <w:r w:rsidRPr="00976A76">
        <w:rPr>
          <w:rFonts w:ascii="Times New Roman" w:hAnsi="Times New Roman" w:cs="Times New Roman"/>
          <w:iCs/>
          <w:color w:val="000000"/>
        </w:rPr>
        <w:t>:</w:t>
      </w:r>
    </w:p>
    <w:p w14:paraId="0BFA968F" w14:textId="77777777" w:rsidR="009515F9" w:rsidRPr="00976A76" w:rsidRDefault="009515F9" w:rsidP="00087B2D">
      <w:pPr>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3328"/>
        <w:gridCol w:w="2606"/>
        <w:gridCol w:w="3416"/>
      </w:tblGrid>
      <w:tr w:rsidR="00087B2D" w:rsidRPr="006E4A97" w14:paraId="006BDCAB" w14:textId="77777777" w:rsidTr="00B60A29">
        <w:trPr>
          <w:tblHeader/>
        </w:trPr>
        <w:tc>
          <w:tcPr>
            <w:tcW w:w="3328" w:type="dxa"/>
            <w:tcBorders>
              <w:bottom w:val="single" w:sz="4" w:space="0" w:color="auto"/>
            </w:tcBorders>
          </w:tcPr>
          <w:p w14:paraId="7DDDCD35"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t>Income (cash inflow)</w:t>
            </w:r>
          </w:p>
        </w:tc>
        <w:tc>
          <w:tcPr>
            <w:tcW w:w="2606" w:type="dxa"/>
            <w:tcBorders>
              <w:bottom w:val="single" w:sz="4" w:space="0" w:color="auto"/>
            </w:tcBorders>
          </w:tcPr>
          <w:p w14:paraId="41165EC5" w14:textId="77777777" w:rsidR="00087B2D" w:rsidRPr="00976A76" w:rsidRDefault="00087B2D" w:rsidP="00B60A29">
            <w:pPr>
              <w:jc w:val="center"/>
              <w:rPr>
                <w:rFonts w:ascii="Times New Roman" w:hAnsi="Times New Roman" w:cs="Times New Roman"/>
              </w:rPr>
            </w:pPr>
            <w:r w:rsidRPr="00976A76">
              <w:rPr>
                <w:rFonts w:ascii="Times New Roman" w:hAnsi="Times New Roman" w:cs="Times New Roman"/>
              </w:rPr>
              <w:t>Subject to FASB ASC 606?</w:t>
            </w:r>
          </w:p>
        </w:tc>
        <w:tc>
          <w:tcPr>
            <w:tcW w:w="3416" w:type="dxa"/>
            <w:tcBorders>
              <w:bottom w:val="single" w:sz="4" w:space="0" w:color="auto"/>
            </w:tcBorders>
          </w:tcPr>
          <w:p w14:paraId="123E706E"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t xml:space="preserve">Considerations </w:t>
            </w:r>
          </w:p>
        </w:tc>
      </w:tr>
      <w:tr w:rsidR="00087B2D" w:rsidRPr="006E4A97" w14:paraId="11C474B3" w14:textId="77777777" w:rsidTr="00B60A29">
        <w:tc>
          <w:tcPr>
            <w:tcW w:w="3328" w:type="dxa"/>
          </w:tcPr>
          <w:p w14:paraId="44FD4225"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t>Investment income</w:t>
            </w:r>
            <w:r w:rsidRPr="00976A76">
              <w:rPr>
                <w:rStyle w:val="FootnoteReference"/>
                <w:rFonts w:ascii="Times New Roman" w:hAnsi="Times New Roman" w:cs="Times New Roman"/>
              </w:rPr>
              <w:footnoteReference w:id="1"/>
            </w:r>
            <w:r w:rsidRPr="00976A76">
              <w:rPr>
                <w:rFonts w:ascii="Times New Roman" w:hAnsi="Times New Roman" w:cs="Times New Roman"/>
              </w:rPr>
              <w:t>: Dividends, interest, unrealized/realized gains/losses, securities lending income, interest income of notes receivable from participants</w:t>
            </w:r>
          </w:p>
        </w:tc>
        <w:tc>
          <w:tcPr>
            <w:tcW w:w="2606" w:type="dxa"/>
          </w:tcPr>
          <w:p w14:paraId="42DF5DDC" w14:textId="77777777" w:rsidR="00087B2D" w:rsidRPr="00976A76" w:rsidRDefault="00087B2D" w:rsidP="00B60A29">
            <w:pPr>
              <w:jc w:val="center"/>
              <w:rPr>
                <w:rFonts w:ascii="Times New Roman" w:hAnsi="Times New Roman" w:cs="Times New Roman"/>
              </w:rPr>
            </w:pPr>
            <w:r w:rsidRPr="00976A76">
              <w:rPr>
                <w:rFonts w:ascii="Times New Roman" w:hAnsi="Times New Roman" w:cs="Times New Roman"/>
              </w:rPr>
              <w:t>Outside scope of FASB ASC 606.</w:t>
            </w:r>
          </w:p>
        </w:tc>
        <w:tc>
          <w:tcPr>
            <w:tcW w:w="3416" w:type="dxa"/>
          </w:tcPr>
          <w:p w14:paraId="0E208CC1"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t xml:space="preserve">-- </w:t>
            </w:r>
          </w:p>
        </w:tc>
      </w:tr>
      <w:tr w:rsidR="00087B2D" w:rsidRPr="006E4A97" w14:paraId="32BD3785" w14:textId="77777777" w:rsidTr="00B60A29">
        <w:tc>
          <w:tcPr>
            <w:tcW w:w="3328" w:type="dxa"/>
          </w:tcPr>
          <w:p w14:paraId="38BDAD6D"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lastRenderedPageBreak/>
              <w:t>Contributions</w:t>
            </w:r>
            <w:r w:rsidRPr="00976A76">
              <w:rPr>
                <w:rStyle w:val="FootnoteReference"/>
                <w:rFonts w:ascii="Times New Roman" w:hAnsi="Times New Roman" w:cs="Times New Roman"/>
              </w:rPr>
              <w:footnoteReference w:id="2"/>
            </w:r>
            <w:r w:rsidRPr="00976A76">
              <w:rPr>
                <w:rFonts w:ascii="Times New Roman" w:hAnsi="Times New Roman" w:cs="Times New Roman"/>
              </w:rPr>
              <w:t>: Discretionary contributions (employee, rollover), nondiscretionary contributions (employer), reciprocal contributions (multiemployer plans)</w:t>
            </w:r>
          </w:p>
        </w:tc>
        <w:tc>
          <w:tcPr>
            <w:tcW w:w="2606" w:type="dxa"/>
          </w:tcPr>
          <w:p w14:paraId="5FB3037D" w14:textId="77777777" w:rsidR="00087B2D" w:rsidRPr="00976A76" w:rsidRDefault="00087B2D" w:rsidP="00B60A29">
            <w:pPr>
              <w:jc w:val="center"/>
              <w:rPr>
                <w:rFonts w:ascii="Times New Roman" w:hAnsi="Times New Roman" w:cs="Times New Roman"/>
              </w:rPr>
            </w:pPr>
            <w:r w:rsidRPr="00976A76">
              <w:rPr>
                <w:rFonts w:ascii="Times New Roman" w:hAnsi="Times New Roman" w:cs="Times New Roman"/>
              </w:rPr>
              <w:t>Not subject to FASB ASC 606.</w:t>
            </w:r>
          </w:p>
        </w:tc>
        <w:tc>
          <w:tcPr>
            <w:tcW w:w="3416" w:type="dxa"/>
          </w:tcPr>
          <w:p w14:paraId="7199CAE4" w14:textId="2FC2026E" w:rsidR="00087B2D" w:rsidRPr="00976A76" w:rsidRDefault="00087B2D" w:rsidP="00B60A29">
            <w:pPr>
              <w:rPr>
                <w:rFonts w:ascii="Times New Roman" w:hAnsi="Times New Roman" w:cs="Times New Roman"/>
              </w:rPr>
            </w:pPr>
            <w:r w:rsidRPr="00976A76">
              <w:rPr>
                <w:rFonts w:ascii="Times New Roman" w:hAnsi="Times New Roman" w:cs="Times New Roman"/>
              </w:rPr>
              <w:t xml:space="preserve">Employees and employers are not considered to be customers </w:t>
            </w:r>
            <w:r w:rsidR="00E2504F">
              <w:rPr>
                <w:rFonts w:ascii="Times New Roman" w:hAnsi="Times New Roman" w:cs="Times New Roman"/>
              </w:rPr>
              <w:t>based on the guidance in</w:t>
            </w:r>
            <w:r w:rsidRPr="00976A76">
              <w:rPr>
                <w:rFonts w:ascii="Times New Roman" w:hAnsi="Times New Roman" w:cs="Times New Roman"/>
              </w:rPr>
              <w:t xml:space="preserve"> FASB ASC 606, and therefore not in the scope of ASC 606.</w:t>
            </w:r>
          </w:p>
          <w:p w14:paraId="34099007" w14:textId="77777777" w:rsidR="00087B2D" w:rsidRPr="00976A76" w:rsidRDefault="00087B2D" w:rsidP="00B60A29">
            <w:pPr>
              <w:rPr>
                <w:rFonts w:ascii="Times New Roman" w:hAnsi="Times New Roman" w:cs="Times New Roman"/>
              </w:rPr>
            </w:pPr>
          </w:p>
          <w:p w14:paraId="6DE7387A"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t xml:space="preserve">The nature of the transaction for contributions is that the plan acts as a vehicle for the participants' investments. </w:t>
            </w:r>
          </w:p>
          <w:p w14:paraId="5A6E9BA7" w14:textId="77777777" w:rsidR="00087B2D" w:rsidRPr="00976A76" w:rsidRDefault="00087B2D" w:rsidP="00B60A29">
            <w:pPr>
              <w:rPr>
                <w:rFonts w:ascii="Times New Roman" w:hAnsi="Times New Roman" w:cs="Times New Roman"/>
              </w:rPr>
            </w:pPr>
          </w:p>
          <w:p w14:paraId="60562EE8" w14:textId="77777777" w:rsidR="00087B2D" w:rsidRPr="00976A76" w:rsidRDefault="00087B2D" w:rsidP="00B60A29">
            <w:pPr>
              <w:rPr>
                <w:rFonts w:ascii="Times New Roman" w:hAnsi="Times New Roman" w:cs="Times New Roman"/>
              </w:rPr>
            </w:pPr>
            <w:r w:rsidRPr="00976A76">
              <w:rPr>
                <w:rFonts w:ascii="Times New Roman" w:hAnsi="Times New Roman" w:cs="Times New Roman"/>
              </w:rPr>
              <w:t xml:space="preserve">Employee and employer contributions are not revenue to a plan. For defined contribution and defined benefit plans, both employee and employer contributions are </w:t>
            </w:r>
            <w:proofErr w:type="gramStart"/>
            <w:r w:rsidRPr="00976A76">
              <w:rPr>
                <w:rFonts w:ascii="Times New Roman" w:hAnsi="Times New Roman" w:cs="Times New Roman"/>
              </w:rPr>
              <w:t>similar to</w:t>
            </w:r>
            <w:proofErr w:type="gramEnd"/>
            <w:r w:rsidRPr="00976A76">
              <w:rPr>
                <w:rFonts w:ascii="Times New Roman" w:hAnsi="Times New Roman" w:cs="Times New Roman"/>
              </w:rPr>
              <w:t xml:space="preserve"> deposits held for the benefit of the participant. </w:t>
            </w:r>
          </w:p>
          <w:p w14:paraId="655260EE" w14:textId="77777777" w:rsidR="00087B2D" w:rsidRPr="00976A76" w:rsidRDefault="00087B2D" w:rsidP="00B60A29">
            <w:pPr>
              <w:rPr>
                <w:rFonts w:ascii="Times New Roman" w:hAnsi="Times New Roman" w:cs="Times New Roman"/>
              </w:rPr>
            </w:pPr>
          </w:p>
          <w:p w14:paraId="245D84D2" w14:textId="77777777" w:rsidR="00087B2D" w:rsidRPr="006E4A97" w:rsidRDefault="00087B2D" w:rsidP="00B60A29">
            <w:pPr>
              <w:rPr>
                <w:rFonts w:ascii="Times New Roman" w:hAnsi="Times New Roman" w:cs="Times New Roman"/>
                <w:b/>
                <w:bCs/>
                <w:u w:val="single"/>
              </w:rPr>
            </w:pPr>
            <w:r w:rsidRPr="00976A76">
              <w:rPr>
                <w:rFonts w:ascii="Times New Roman" w:hAnsi="Times New Roman" w:cs="Times New Roman"/>
              </w:rPr>
              <w:t>In multiemployer plan reciprocal arrangements, the agreements are between the plans rather the plan and the plan participant, and the related contributions are not considered revenues under FASB ASC 606.</w:t>
            </w:r>
          </w:p>
        </w:tc>
      </w:tr>
      <w:tr w:rsidR="00087B2D" w:rsidRPr="006E4A97" w14:paraId="142DC9B0" w14:textId="77777777" w:rsidTr="00B60A29">
        <w:tc>
          <w:tcPr>
            <w:tcW w:w="3328" w:type="dxa"/>
            <w:tcBorders>
              <w:right w:val="nil"/>
            </w:tcBorders>
          </w:tcPr>
          <w:p w14:paraId="2007AAE2"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Other revenue:</w:t>
            </w:r>
          </w:p>
        </w:tc>
        <w:tc>
          <w:tcPr>
            <w:tcW w:w="2606" w:type="dxa"/>
            <w:tcBorders>
              <w:left w:val="nil"/>
              <w:right w:val="nil"/>
            </w:tcBorders>
          </w:tcPr>
          <w:p w14:paraId="6133511A" w14:textId="77777777" w:rsidR="00087B2D" w:rsidRPr="008F1FC6" w:rsidRDefault="00087B2D" w:rsidP="00B60A29">
            <w:pPr>
              <w:jc w:val="center"/>
              <w:rPr>
                <w:rFonts w:ascii="Times New Roman" w:hAnsi="Times New Roman" w:cs="Times New Roman"/>
              </w:rPr>
            </w:pPr>
          </w:p>
        </w:tc>
        <w:tc>
          <w:tcPr>
            <w:tcW w:w="3416" w:type="dxa"/>
            <w:tcBorders>
              <w:left w:val="nil"/>
            </w:tcBorders>
          </w:tcPr>
          <w:p w14:paraId="08BB4AB5" w14:textId="77777777" w:rsidR="00087B2D" w:rsidRPr="008F1FC6" w:rsidRDefault="00087B2D" w:rsidP="00B60A29">
            <w:pPr>
              <w:rPr>
                <w:rFonts w:ascii="Times New Roman" w:hAnsi="Times New Roman" w:cs="Times New Roman"/>
              </w:rPr>
            </w:pPr>
          </w:p>
        </w:tc>
      </w:tr>
      <w:tr w:rsidR="00087B2D" w:rsidRPr="006E4A97" w14:paraId="7AEB6A15" w14:textId="77777777" w:rsidTr="00B60A29">
        <w:tc>
          <w:tcPr>
            <w:tcW w:w="3328" w:type="dxa"/>
          </w:tcPr>
          <w:p w14:paraId="3B9F26CD"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Revenue sharing</w:t>
            </w:r>
          </w:p>
          <w:p w14:paraId="63A05359" w14:textId="77777777" w:rsidR="00087B2D" w:rsidRPr="008F1FC6" w:rsidRDefault="00087B2D" w:rsidP="00B60A29">
            <w:pPr>
              <w:rPr>
                <w:rFonts w:ascii="Times New Roman" w:hAnsi="Times New Roman" w:cs="Times New Roman"/>
              </w:rPr>
            </w:pPr>
          </w:p>
        </w:tc>
        <w:tc>
          <w:tcPr>
            <w:tcW w:w="2606" w:type="dxa"/>
          </w:tcPr>
          <w:p w14:paraId="18AA651C" w14:textId="77777777" w:rsidR="00087B2D" w:rsidRPr="008F1FC6" w:rsidRDefault="00087B2D" w:rsidP="00B60A29">
            <w:pPr>
              <w:jc w:val="center"/>
              <w:rPr>
                <w:rFonts w:ascii="Times New Roman" w:hAnsi="Times New Roman" w:cs="Times New Roman"/>
              </w:rPr>
            </w:pPr>
            <w:r w:rsidRPr="008F1FC6">
              <w:rPr>
                <w:rFonts w:ascii="Times New Roman" w:hAnsi="Times New Roman" w:cs="Times New Roman"/>
              </w:rPr>
              <w:t>Not subject to FASB ASC 606.</w:t>
            </w:r>
          </w:p>
        </w:tc>
        <w:tc>
          <w:tcPr>
            <w:tcW w:w="3416" w:type="dxa"/>
          </w:tcPr>
          <w:p w14:paraId="5BF5AC9A"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Not considered revenue to the plan, but rather a reduction of expenses paid by the plan.</w:t>
            </w:r>
          </w:p>
        </w:tc>
      </w:tr>
      <w:tr w:rsidR="00087B2D" w:rsidRPr="006E4A97" w14:paraId="0DC55C3C" w14:textId="77777777" w:rsidTr="00B60A29">
        <w:tc>
          <w:tcPr>
            <w:tcW w:w="3328" w:type="dxa"/>
          </w:tcPr>
          <w:p w14:paraId="3451952D"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 xml:space="preserve">Tuition </w:t>
            </w:r>
          </w:p>
        </w:tc>
        <w:tc>
          <w:tcPr>
            <w:tcW w:w="2606" w:type="dxa"/>
          </w:tcPr>
          <w:p w14:paraId="38D4A867" w14:textId="77777777" w:rsidR="00087B2D" w:rsidRPr="008F1FC6" w:rsidRDefault="00087B2D" w:rsidP="00B60A29">
            <w:pPr>
              <w:jc w:val="center"/>
              <w:rPr>
                <w:rFonts w:ascii="Times New Roman" w:hAnsi="Times New Roman" w:cs="Times New Roman"/>
              </w:rPr>
            </w:pPr>
            <w:r w:rsidRPr="008F1FC6">
              <w:rPr>
                <w:rFonts w:ascii="Times New Roman" w:hAnsi="Times New Roman" w:cs="Times New Roman"/>
              </w:rPr>
              <w:t>Potentially subject to FASB ASC 606.</w:t>
            </w:r>
          </w:p>
        </w:tc>
        <w:tc>
          <w:tcPr>
            <w:tcW w:w="3416" w:type="dxa"/>
          </w:tcPr>
          <w:p w14:paraId="514D5514"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 xml:space="preserve">If the plan only acts as a conduit for the tuition payments, then the tuition would not be considered revenue under FASB ASC 606. </w:t>
            </w:r>
          </w:p>
          <w:p w14:paraId="1EC5BC0E" w14:textId="77777777" w:rsidR="00087B2D" w:rsidRPr="008F1FC6" w:rsidRDefault="00087B2D" w:rsidP="00B60A29">
            <w:pPr>
              <w:rPr>
                <w:rFonts w:ascii="Times New Roman" w:hAnsi="Times New Roman" w:cs="Times New Roman"/>
              </w:rPr>
            </w:pPr>
          </w:p>
          <w:p w14:paraId="22CC2C1F"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 xml:space="preserve">However, if the plan provides the actual training, the tuition fee revenue should be considered revenue subject to FASB ASC 606, </w:t>
            </w:r>
            <w:proofErr w:type="gramStart"/>
            <w:r w:rsidRPr="008F1FC6">
              <w:rPr>
                <w:rFonts w:ascii="Times New Roman" w:hAnsi="Times New Roman" w:cs="Times New Roman"/>
              </w:rPr>
              <w:t>similar to</w:t>
            </w:r>
            <w:proofErr w:type="gramEnd"/>
            <w:r w:rsidRPr="008F1FC6">
              <w:rPr>
                <w:rFonts w:ascii="Times New Roman" w:hAnsi="Times New Roman" w:cs="Times New Roman"/>
              </w:rPr>
              <w:t xml:space="preserve"> educational institutions. </w:t>
            </w:r>
          </w:p>
        </w:tc>
      </w:tr>
      <w:tr w:rsidR="00087B2D" w:rsidRPr="006E4A97" w14:paraId="64AE569F" w14:textId="77777777" w:rsidTr="00B60A29">
        <w:tc>
          <w:tcPr>
            <w:tcW w:w="3328" w:type="dxa"/>
          </w:tcPr>
          <w:p w14:paraId="67701B66"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 xml:space="preserve">Grants </w:t>
            </w:r>
          </w:p>
        </w:tc>
        <w:tc>
          <w:tcPr>
            <w:tcW w:w="2606" w:type="dxa"/>
          </w:tcPr>
          <w:p w14:paraId="52D7FB55" w14:textId="77777777" w:rsidR="00087B2D" w:rsidRPr="008F1FC6" w:rsidRDefault="00087B2D" w:rsidP="00B60A29">
            <w:pPr>
              <w:jc w:val="center"/>
              <w:rPr>
                <w:rFonts w:ascii="Times New Roman" w:hAnsi="Times New Roman" w:cs="Times New Roman"/>
              </w:rPr>
            </w:pPr>
            <w:r w:rsidRPr="008F1FC6">
              <w:rPr>
                <w:rFonts w:ascii="Times New Roman" w:hAnsi="Times New Roman" w:cs="Times New Roman"/>
              </w:rPr>
              <w:t>Not subject to FASB ASC 606.</w:t>
            </w:r>
          </w:p>
          <w:p w14:paraId="42D1DF91" w14:textId="77777777" w:rsidR="00087B2D" w:rsidRPr="008F1FC6" w:rsidRDefault="00087B2D" w:rsidP="00B60A29">
            <w:pPr>
              <w:jc w:val="center"/>
              <w:rPr>
                <w:rFonts w:ascii="Times New Roman" w:hAnsi="Times New Roman" w:cs="Times New Roman"/>
              </w:rPr>
            </w:pPr>
            <w:r w:rsidRPr="008F1FC6">
              <w:rPr>
                <w:rFonts w:ascii="Times New Roman" w:hAnsi="Times New Roman" w:cs="Times New Roman"/>
              </w:rPr>
              <w:t>(Covered under ASU 2018-08.)</w:t>
            </w:r>
          </w:p>
        </w:tc>
        <w:tc>
          <w:tcPr>
            <w:tcW w:w="3416" w:type="dxa"/>
          </w:tcPr>
          <w:p w14:paraId="087AA8E7"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Plans should follow the not-for-profit guidance on grant cash inflow. Grant cash inflows are not considered an exchange transaction, and therefore not subject to FASB ASC 606.</w:t>
            </w:r>
          </w:p>
        </w:tc>
      </w:tr>
      <w:tr w:rsidR="00087B2D" w:rsidRPr="006E4A97" w14:paraId="5A83CC80" w14:textId="77777777" w:rsidTr="00B60A29">
        <w:tc>
          <w:tcPr>
            <w:tcW w:w="3328" w:type="dxa"/>
          </w:tcPr>
          <w:p w14:paraId="0F3DEE27"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 xml:space="preserve">Books, supplies </w:t>
            </w:r>
          </w:p>
        </w:tc>
        <w:tc>
          <w:tcPr>
            <w:tcW w:w="2606" w:type="dxa"/>
          </w:tcPr>
          <w:p w14:paraId="55E60038" w14:textId="77777777" w:rsidR="00087B2D" w:rsidRPr="008F1FC6" w:rsidRDefault="00087B2D" w:rsidP="00B60A29">
            <w:pPr>
              <w:jc w:val="center"/>
              <w:rPr>
                <w:rFonts w:ascii="Times New Roman" w:hAnsi="Times New Roman" w:cs="Times New Roman"/>
              </w:rPr>
            </w:pPr>
            <w:r w:rsidRPr="008F1FC6">
              <w:rPr>
                <w:rFonts w:ascii="Times New Roman" w:hAnsi="Times New Roman" w:cs="Times New Roman"/>
              </w:rPr>
              <w:t>Potentially subject to FASB ASC 606.</w:t>
            </w:r>
          </w:p>
        </w:tc>
        <w:tc>
          <w:tcPr>
            <w:tcW w:w="3416" w:type="dxa"/>
          </w:tcPr>
          <w:p w14:paraId="73A34B11" w14:textId="77777777" w:rsidR="00087B2D" w:rsidRPr="008F1FC6" w:rsidRDefault="00087B2D" w:rsidP="00B60A29">
            <w:pPr>
              <w:rPr>
                <w:rFonts w:ascii="Times New Roman" w:hAnsi="Times New Roman" w:cs="Times New Roman"/>
              </w:rPr>
            </w:pPr>
            <w:r w:rsidRPr="008F1FC6">
              <w:rPr>
                <w:rFonts w:ascii="Times New Roman" w:hAnsi="Times New Roman" w:cs="Times New Roman"/>
              </w:rPr>
              <w:t xml:space="preserve">This revenue typically would be subject to FASB ASC 606 since participants that are buying the </w:t>
            </w:r>
            <w:r w:rsidRPr="008F1FC6">
              <w:rPr>
                <w:rFonts w:ascii="Times New Roman" w:hAnsi="Times New Roman" w:cs="Times New Roman"/>
              </w:rPr>
              <w:lastRenderedPageBreak/>
              <w:t>books and supplies are considered customers.</w:t>
            </w:r>
          </w:p>
        </w:tc>
      </w:tr>
      <w:tr w:rsidR="00087B2D" w:rsidRPr="006E4A97" w14:paraId="2B669ED5" w14:textId="77777777" w:rsidTr="00B60A29">
        <w:tc>
          <w:tcPr>
            <w:tcW w:w="3328" w:type="dxa"/>
          </w:tcPr>
          <w:p w14:paraId="0D493820" w14:textId="77777777" w:rsidR="00087B2D" w:rsidRPr="00B755C1" w:rsidRDefault="00087B2D" w:rsidP="00B60A29">
            <w:pPr>
              <w:rPr>
                <w:rFonts w:ascii="Times New Roman" w:hAnsi="Times New Roman" w:cs="Times New Roman"/>
              </w:rPr>
            </w:pPr>
            <w:r w:rsidRPr="00B755C1">
              <w:rPr>
                <w:rFonts w:ascii="Times New Roman" w:hAnsi="Times New Roman" w:cs="Times New Roman"/>
              </w:rPr>
              <w:lastRenderedPageBreak/>
              <w:t>Admin/Recordkeeping income</w:t>
            </w:r>
          </w:p>
        </w:tc>
        <w:tc>
          <w:tcPr>
            <w:tcW w:w="2606" w:type="dxa"/>
          </w:tcPr>
          <w:p w14:paraId="4CFACD23" w14:textId="77777777" w:rsidR="00087B2D" w:rsidRPr="00B755C1" w:rsidRDefault="00087B2D" w:rsidP="00B60A29">
            <w:pPr>
              <w:jc w:val="center"/>
              <w:rPr>
                <w:rFonts w:ascii="Times New Roman" w:hAnsi="Times New Roman" w:cs="Times New Roman"/>
              </w:rPr>
            </w:pPr>
            <w:r w:rsidRPr="00B755C1">
              <w:rPr>
                <w:rFonts w:ascii="Times New Roman" w:hAnsi="Times New Roman" w:cs="Times New Roman"/>
              </w:rPr>
              <w:t>Subject to FASB ASC 606.</w:t>
            </w:r>
          </w:p>
        </w:tc>
        <w:tc>
          <w:tcPr>
            <w:tcW w:w="3416" w:type="dxa"/>
          </w:tcPr>
          <w:p w14:paraId="4C9C8351" w14:textId="4E1931BD" w:rsidR="00087B2D" w:rsidRPr="00B755C1" w:rsidRDefault="00087B2D" w:rsidP="00B60A29">
            <w:r w:rsidRPr="00B755C1">
              <w:rPr>
                <w:rFonts w:ascii="Times New Roman" w:hAnsi="Times New Roman" w:cs="Times New Roman"/>
              </w:rPr>
              <w:t xml:space="preserve">Plans may provide recordkeeping services or own a separate legal entity that performs recordkeeping services for other plans. These cash inflows would be considered revenue under FASB ASC 606 because the bookkeeping </w:t>
            </w:r>
            <w:r w:rsidR="005D7E41">
              <w:rPr>
                <w:rFonts w:ascii="Times New Roman" w:hAnsi="Times New Roman" w:cs="Times New Roman"/>
              </w:rPr>
              <w:t>services</w:t>
            </w:r>
            <w:r w:rsidR="007436C9">
              <w:rPr>
                <w:rFonts w:ascii="Times New Roman" w:hAnsi="Times New Roman" w:cs="Times New Roman"/>
              </w:rPr>
              <w:t xml:space="preserve"> provided to customers are</w:t>
            </w:r>
            <w:r w:rsidRPr="00B755C1">
              <w:rPr>
                <w:rFonts w:ascii="Times New Roman" w:hAnsi="Times New Roman" w:cs="Times New Roman"/>
              </w:rPr>
              <w:t xml:space="preserve"> an </w:t>
            </w:r>
            <w:r w:rsidR="00BD44A8">
              <w:rPr>
                <w:rFonts w:ascii="Times New Roman" w:hAnsi="Times New Roman" w:cs="Times New Roman"/>
              </w:rPr>
              <w:t>output of the plan’s ordinary activities in exchange for consideration</w:t>
            </w:r>
            <w:r w:rsidRPr="00B755C1">
              <w:rPr>
                <w:rFonts w:ascii="Times New Roman" w:hAnsi="Times New Roman" w:cs="Times New Roman"/>
              </w:rPr>
              <w:t>.</w:t>
            </w:r>
          </w:p>
        </w:tc>
      </w:tr>
      <w:tr w:rsidR="00087B2D" w:rsidRPr="006E4A97" w14:paraId="4AC001C4" w14:textId="77777777" w:rsidTr="00B60A29">
        <w:tc>
          <w:tcPr>
            <w:tcW w:w="3328" w:type="dxa"/>
          </w:tcPr>
          <w:p w14:paraId="1AE81425" w14:textId="77777777" w:rsidR="00087B2D" w:rsidRPr="00B755C1" w:rsidRDefault="00087B2D" w:rsidP="00B60A29">
            <w:pPr>
              <w:rPr>
                <w:rFonts w:ascii="Times New Roman" w:hAnsi="Times New Roman" w:cs="Times New Roman"/>
              </w:rPr>
            </w:pPr>
            <w:r w:rsidRPr="00B755C1">
              <w:rPr>
                <w:rFonts w:ascii="Times New Roman" w:hAnsi="Times New Roman" w:cs="Times New Roman"/>
              </w:rPr>
              <w:t>Lease income/rental income</w:t>
            </w:r>
            <w:r w:rsidRPr="00B755C1">
              <w:rPr>
                <w:rStyle w:val="FootnoteReference"/>
                <w:rFonts w:ascii="Times New Roman" w:hAnsi="Times New Roman" w:cs="Times New Roman"/>
              </w:rPr>
              <w:footnoteReference w:customMarkFollows="1" w:id="3"/>
              <w:t>1</w:t>
            </w:r>
          </w:p>
        </w:tc>
        <w:tc>
          <w:tcPr>
            <w:tcW w:w="2606" w:type="dxa"/>
          </w:tcPr>
          <w:p w14:paraId="54597CD9" w14:textId="77777777" w:rsidR="00087B2D" w:rsidRPr="00B755C1" w:rsidRDefault="00087B2D" w:rsidP="00B60A29">
            <w:pPr>
              <w:jc w:val="center"/>
              <w:rPr>
                <w:rFonts w:ascii="Times New Roman" w:hAnsi="Times New Roman" w:cs="Times New Roman"/>
              </w:rPr>
            </w:pPr>
            <w:r w:rsidRPr="00B755C1">
              <w:rPr>
                <w:rFonts w:ascii="Times New Roman" w:hAnsi="Times New Roman" w:cs="Times New Roman"/>
              </w:rPr>
              <w:t>Out of scope of FASB ASC 606</w:t>
            </w:r>
            <w:r w:rsidRPr="00B755C1">
              <w:t>.</w:t>
            </w:r>
          </w:p>
          <w:p w14:paraId="08176D86" w14:textId="77777777" w:rsidR="00087B2D" w:rsidRPr="00B755C1" w:rsidRDefault="00087B2D" w:rsidP="00B60A29">
            <w:pPr>
              <w:jc w:val="center"/>
              <w:rPr>
                <w:rFonts w:ascii="Times New Roman" w:hAnsi="Times New Roman" w:cs="Times New Roman"/>
              </w:rPr>
            </w:pPr>
            <w:r w:rsidRPr="00B755C1">
              <w:rPr>
                <w:rFonts w:ascii="Times New Roman" w:hAnsi="Times New Roman" w:cs="Times New Roman"/>
              </w:rPr>
              <w:t>(Covered by FASB ASC 840 or FASB ASC 842, once adopted)</w:t>
            </w:r>
          </w:p>
        </w:tc>
        <w:tc>
          <w:tcPr>
            <w:tcW w:w="3416" w:type="dxa"/>
          </w:tcPr>
          <w:p w14:paraId="05D1553F" w14:textId="77777777" w:rsidR="00087B2D" w:rsidRPr="002549E2" w:rsidRDefault="00087B2D" w:rsidP="00B60A29">
            <w:pPr>
              <w:rPr>
                <w:rFonts w:ascii="Times New Roman" w:hAnsi="Times New Roman" w:cs="Times New Roman"/>
                <w:b/>
                <w:bCs/>
              </w:rPr>
            </w:pPr>
            <w:r w:rsidRPr="002549E2">
              <w:rPr>
                <w:rFonts w:ascii="Times New Roman" w:hAnsi="Times New Roman" w:cs="Times New Roman"/>
                <w:b/>
                <w:bCs/>
              </w:rPr>
              <w:t xml:space="preserve">-- </w:t>
            </w:r>
          </w:p>
        </w:tc>
      </w:tr>
      <w:tr w:rsidR="00087B2D" w:rsidRPr="006E4A97" w14:paraId="3D38B8EA" w14:textId="77777777" w:rsidTr="00B60A29">
        <w:tc>
          <w:tcPr>
            <w:tcW w:w="3328" w:type="dxa"/>
          </w:tcPr>
          <w:p w14:paraId="431098AA" w14:textId="77777777" w:rsidR="00087B2D" w:rsidRPr="00B755C1" w:rsidRDefault="00087B2D" w:rsidP="00B60A29">
            <w:pPr>
              <w:rPr>
                <w:rFonts w:ascii="Times New Roman" w:hAnsi="Times New Roman" w:cs="Times New Roman"/>
              </w:rPr>
            </w:pPr>
            <w:r w:rsidRPr="00B755C1">
              <w:rPr>
                <w:rFonts w:ascii="Times New Roman" w:hAnsi="Times New Roman" w:cs="Times New Roman"/>
              </w:rPr>
              <w:t xml:space="preserve">Pharmacy rebates </w:t>
            </w:r>
          </w:p>
        </w:tc>
        <w:tc>
          <w:tcPr>
            <w:tcW w:w="2606" w:type="dxa"/>
          </w:tcPr>
          <w:p w14:paraId="6EBD9124" w14:textId="77777777" w:rsidR="00087B2D" w:rsidRPr="00B755C1" w:rsidRDefault="00087B2D" w:rsidP="00B60A29">
            <w:pPr>
              <w:jc w:val="center"/>
              <w:rPr>
                <w:rFonts w:ascii="Times New Roman" w:hAnsi="Times New Roman" w:cs="Times New Roman"/>
              </w:rPr>
            </w:pPr>
            <w:r w:rsidRPr="00B755C1">
              <w:rPr>
                <w:rFonts w:ascii="Times New Roman" w:hAnsi="Times New Roman" w:cs="Times New Roman"/>
              </w:rPr>
              <w:t>Not subject to FASB ASC 606.</w:t>
            </w:r>
          </w:p>
        </w:tc>
        <w:tc>
          <w:tcPr>
            <w:tcW w:w="3416" w:type="dxa"/>
          </w:tcPr>
          <w:p w14:paraId="7975F4AE" w14:textId="77777777" w:rsidR="00087B2D" w:rsidRPr="00B755C1" w:rsidRDefault="00087B2D" w:rsidP="00B60A29">
            <w:pPr>
              <w:rPr>
                <w:rFonts w:ascii="Times New Roman" w:hAnsi="Times New Roman" w:cs="Times New Roman"/>
              </w:rPr>
            </w:pPr>
            <w:r w:rsidRPr="00B755C1">
              <w:rPr>
                <w:rFonts w:ascii="Times New Roman" w:hAnsi="Times New Roman" w:cs="Times New Roman"/>
              </w:rPr>
              <w:t xml:space="preserve">Pharmacy rebates received by health and welfare plans are offset against the related expenses incurred by the plan. Assuming no services are being provided by the plan, such rebates would not be considered revenue under FASB ASC 606. </w:t>
            </w:r>
          </w:p>
        </w:tc>
      </w:tr>
    </w:tbl>
    <w:p w14:paraId="33DE82EC" w14:textId="769ED142" w:rsidR="00032FFF" w:rsidRPr="00315D93" w:rsidRDefault="00AD09EE" w:rsidP="008A40A6">
      <w:pPr>
        <w:jc w:val="both"/>
        <w:rPr>
          <w:rFonts w:ascii="Arial" w:hAnsi="Arial" w:cs="Arial"/>
          <w:sz w:val="21"/>
          <w:szCs w:val="21"/>
        </w:rPr>
      </w:pPr>
      <w:r w:rsidRPr="008A40A6">
        <w:rPr>
          <w:rFonts w:ascii="Arial" w:hAnsi="Arial" w:cs="Arial"/>
          <w:noProof/>
          <w:sz w:val="21"/>
          <w:szCs w:val="21"/>
        </w:rPr>
        <mc:AlternateContent>
          <mc:Choice Requires="wps">
            <w:drawing>
              <wp:anchor distT="45720" distB="45720" distL="114300" distR="114300" simplePos="0" relativeHeight="251661312" behindDoc="0" locked="0" layoutInCell="1" allowOverlap="1" wp14:anchorId="199ED8D6" wp14:editId="088DDB63">
                <wp:simplePos x="0" y="0"/>
                <wp:positionH relativeFrom="margin">
                  <wp:posOffset>142875</wp:posOffset>
                </wp:positionH>
                <wp:positionV relativeFrom="paragraph">
                  <wp:posOffset>4377690</wp:posOffset>
                </wp:positionV>
                <wp:extent cx="5631180" cy="1404620"/>
                <wp:effectExtent l="0" t="0" r="2667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04620"/>
                        </a:xfrm>
                        <a:prstGeom prst="rect">
                          <a:avLst/>
                        </a:prstGeom>
                        <a:solidFill>
                          <a:srgbClr val="FFFFFF"/>
                        </a:solidFill>
                        <a:ln w="9525">
                          <a:solidFill>
                            <a:srgbClr val="000000"/>
                          </a:solidFill>
                          <a:miter lim="800000"/>
                          <a:headEnd/>
                          <a:tailEnd/>
                        </a:ln>
                      </wps:spPr>
                      <wps:txbx>
                        <w:txbxContent>
                          <w:p w14:paraId="69E12163" w14:textId="77777777" w:rsidR="00AD09EE" w:rsidRPr="008A40A6" w:rsidRDefault="00AD09EE" w:rsidP="00AD09EE">
                            <w:pPr>
                              <w:jc w:val="both"/>
                              <w:rPr>
                                <w:rFonts w:ascii="Arial" w:hAnsi="Arial" w:cs="Arial"/>
                                <w:sz w:val="10"/>
                                <w:szCs w:val="21"/>
                              </w:rPr>
                            </w:pPr>
                          </w:p>
                          <w:p w14:paraId="7CCAC394" w14:textId="36287768" w:rsidR="00AD09EE" w:rsidRDefault="00AD09EE" w:rsidP="00AD09EE">
                            <w:pPr>
                              <w:jc w:val="center"/>
                              <w:rPr>
                                <w:rFonts w:ascii="Arial" w:hAnsi="Arial" w:cs="Arial"/>
                                <w:sz w:val="21"/>
                                <w:szCs w:val="21"/>
                              </w:rPr>
                            </w:pPr>
                            <w:r>
                              <w:rPr>
                                <w:rFonts w:ascii="Arial" w:hAnsi="Arial" w:cs="Arial"/>
                                <w:sz w:val="21"/>
                                <w:szCs w:val="21"/>
                              </w:rPr>
                              <w:t>Co</w:t>
                            </w:r>
                            <w:r w:rsidRPr="008A40A6">
                              <w:rPr>
                                <w:rFonts w:ascii="Arial" w:hAnsi="Arial" w:cs="Arial"/>
                                <w:sz w:val="21"/>
                                <w:szCs w:val="21"/>
                              </w:rPr>
                              <w:t xml:space="preserve">mments should be received by </w:t>
                            </w:r>
                            <w:r w:rsidR="00BB048C">
                              <w:rPr>
                                <w:rFonts w:ascii="Arial" w:hAnsi="Arial" w:cs="Arial"/>
                                <w:sz w:val="21"/>
                                <w:szCs w:val="21"/>
                              </w:rPr>
                              <w:t>Ju</w:t>
                            </w:r>
                            <w:r w:rsidR="00CD61CD">
                              <w:rPr>
                                <w:rFonts w:ascii="Arial" w:hAnsi="Arial" w:cs="Arial"/>
                                <w:sz w:val="21"/>
                                <w:szCs w:val="21"/>
                              </w:rPr>
                              <w:t>ly</w:t>
                            </w:r>
                            <w:r w:rsidRPr="008A40A6">
                              <w:rPr>
                                <w:rFonts w:ascii="Arial" w:hAnsi="Arial" w:cs="Arial"/>
                                <w:sz w:val="21"/>
                                <w:szCs w:val="21"/>
                              </w:rPr>
                              <w:t xml:space="preserve"> </w:t>
                            </w:r>
                            <w:r w:rsidR="00952D3A">
                              <w:rPr>
                                <w:rFonts w:ascii="Arial" w:hAnsi="Arial" w:cs="Arial"/>
                                <w:sz w:val="21"/>
                                <w:szCs w:val="21"/>
                              </w:rPr>
                              <w:t>12</w:t>
                            </w:r>
                            <w:r w:rsidRPr="008A40A6">
                              <w:rPr>
                                <w:rFonts w:ascii="Arial" w:hAnsi="Arial" w:cs="Arial"/>
                                <w:sz w:val="21"/>
                                <w:szCs w:val="21"/>
                              </w:rPr>
                              <w:t>, 202</w:t>
                            </w:r>
                            <w:r w:rsidR="00CC7A7C">
                              <w:rPr>
                                <w:rFonts w:ascii="Arial" w:hAnsi="Arial" w:cs="Arial"/>
                                <w:sz w:val="21"/>
                                <w:szCs w:val="21"/>
                              </w:rPr>
                              <w:t>1</w:t>
                            </w:r>
                            <w:r w:rsidRPr="008A40A6">
                              <w:rPr>
                                <w:rFonts w:ascii="Arial" w:hAnsi="Arial" w:cs="Arial"/>
                                <w:sz w:val="21"/>
                                <w:szCs w:val="21"/>
                              </w:rPr>
                              <w:t xml:space="preserve">, and sent by electronic mail to </w:t>
                            </w:r>
                            <w:r w:rsidR="0098696E">
                              <w:rPr>
                                <w:rFonts w:ascii="Arial" w:hAnsi="Arial" w:cs="Arial"/>
                                <w:sz w:val="21"/>
                                <w:szCs w:val="21"/>
                              </w:rPr>
                              <w:t>Sue</w:t>
                            </w:r>
                            <w:r w:rsidRPr="008A40A6">
                              <w:rPr>
                                <w:rFonts w:ascii="Arial" w:hAnsi="Arial" w:cs="Arial"/>
                                <w:sz w:val="21"/>
                                <w:szCs w:val="21"/>
                              </w:rPr>
                              <w:t xml:space="preserve"> </w:t>
                            </w:r>
                            <w:r w:rsidR="0098696E">
                              <w:rPr>
                                <w:rFonts w:ascii="Arial" w:hAnsi="Arial" w:cs="Arial"/>
                                <w:sz w:val="21"/>
                                <w:szCs w:val="21"/>
                              </w:rPr>
                              <w:t>Hicks</w:t>
                            </w:r>
                            <w:r w:rsidRPr="008A40A6">
                              <w:rPr>
                                <w:rFonts w:ascii="Arial" w:hAnsi="Arial" w:cs="Arial"/>
                                <w:sz w:val="21"/>
                                <w:szCs w:val="21"/>
                              </w:rPr>
                              <w:t xml:space="preserve"> at </w:t>
                            </w:r>
                            <w:r w:rsidR="0098696E">
                              <w:rPr>
                                <w:rFonts w:ascii="Arial" w:hAnsi="Arial" w:cs="Arial"/>
                                <w:sz w:val="21"/>
                                <w:szCs w:val="21"/>
                              </w:rPr>
                              <w:t>sue.hicks</w:t>
                            </w:r>
                            <w:r w:rsidRPr="008A40A6">
                              <w:rPr>
                                <w:rFonts w:ascii="Arial" w:hAnsi="Arial" w:cs="Arial"/>
                                <w:sz w:val="21"/>
                                <w:szCs w:val="21"/>
                              </w:rPr>
                              <w:t xml:space="preserve">@aicpa-cima.com, or you can send them by mail to </w:t>
                            </w:r>
                            <w:r w:rsidR="0098696E">
                              <w:rPr>
                                <w:rFonts w:ascii="Arial" w:hAnsi="Arial" w:cs="Arial"/>
                                <w:sz w:val="21"/>
                                <w:szCs w:val="21"/>
                              </w:rPr>
                              <w:t>AICPA</w:t>
                            </w:r>
                            <w:r w:rsidR="00920E67">
                              <w:rPr>
                                <w:rFonts w:ascii="Arial" w:hAnsi="Arial" w:cs="Arial"/>
                                <w:sz w:val="21"/>
                                <w:szCs w:val="21"/>
                              </w:rPr>
                              <w:t>,</w:t>
                            </w:r>
                            <w:r w:rsidR="0098696E">
                              <w:rPr>
                                <w:rFonts w:ascii="Arial" w:hAnsi="Arial" w:cs="Arial"/>
                                <w:sz w:val="21"/>
                                <w:szCs w:val="21"/>
                              </w:rPr>
                              <w:t xml:space="preserve"> </w:t>
                            </w:r>
                            <w:r w:rsidRPr="008A40A6">
                              <w:rPr>
                                <w:rFonts w:ascii="Arial" w:hAnsi="Arial" w:cs="Arial"/>
                                <w:sz w:val="21"/>
                                <w:szCs w:val="21"/>
                              </w:rPr>
                              <w:t xml:space="preserve">attention: </w:t>
                            </w:r>
                            <w:r w:rsidR="0098696E">
                              <w:rPr>
                                <w:rFonts w:ascii="Arial" w:hAnsi="Arial" w:cs="Arial"/>
                                <w:sz w:val="21"/>
                                <w:szCs w:val="21"/>
                              </w:rPr>
                              <w:t>Sue Hicks</w:t>
                            </w:r>
                            <w:r w:rsidRPr="008A40A6">
                              <w:rPr>
                                <w:rFonts w:ascii="Arial" w:hAnsi="Arial" w:cs="Arial"/>
                                <w:sz w:val="21"/>
                                <w:szCs w:val="21"/>
                              </w:rPr>
                              <w:t>, 1</w:t>
                            </w:r>
                            <w:r w:rsidR="0098696E">
                              <w:rPr>
                                <w:rFonts w:ascii="Arial" w:hAnsi="Arial" w:cs="Arial"/>
                                <w:sz w:val="21"/>
                                <w:szCs w:val="21"/>
                              </w:rPr>
                              <w:t>45</w:t>
                            </w:r>
                            <w:r w:rsidRPr="008A40A6">
                              <w:rPr>
                                <w:rFonts w:ascii="Arial" w:hAnsi="Arial" w:cs="Arial"/>
                                <w:sz w:val="21"/>
                                <w:szCs w:val="21"/>
                              </w:rPr>
                              <w:t xml:space="preserve">5 </w:t>
                            </w:r>
                            <w:r w:rsidR="0098696E">
                              <w:rPr>
                                <w:rFonts w:ascii="Arial" w:hAnsi="Arial" w:cs="Arial"/>
                                <w:sz w:val="21"/>
                                <w:szCs w:val="21"/>
                              </w:rPr>
                              <w:t xml:space="preserve">Pennsylvania </w:t>
                            </w:r>
                            <w:r w:rsidRPr="008A40A6">
                              <w:rPr>
                                <w:rFonts w:ascii="Arial" w:hAnsi="Arial" w:cs="Arial"/>
                                <w:sz w:val="21"/>
                                <w:szCs w:val="21"/>
                              </w:rPr>
                              <w:t>Avenue</w:t>
                            </w:r>
                            <w:r w:rsidR="0098696E">
                              <w:rPr>
                                <w:rFonts w:ascii="Arial" w:hAnsi="Arial" w:cs="Arial"/>
                                <w:sz w:val="21"/>
                                <w:szCs w:val="21"/>
                              </w:rPr>
                              <w:t>, NW, Washington, DC</w:t>
                            </w:r>
                            <w:r w:rsidRPr="008A40A6">
                              <w:rPr>
                                <w:rFonts w:ascii="Arial" w:hAnsi="Arial" w:cs="Arial"/>
                                <w:sz w:val="21"/>
                                <w:szCs w:val="21"/>
                              </w:rPr>
                              <w:t xml:space="preserve">, </w:t>
                            </w:r>
                            <w:r w:rsidR="0098696E">
                              <w:rPr>
                                <w:rFonts w:ascii="Arial" w:hAnsi="Arial" w:cs="Arial"/>
                                <w:sz w:val="21"/>
                                <w:szCs w:val="21"/>
                              </w:rPr>
                              <w:t>20004</w:t>
                            </w:r>
                            <w:r w:rsidRPr="008A40A6">
                              <w:rPr>
                                <w:rFonts w:ascii="Arial" w:hAnsi="Arial" w:cs="Arial"/>
                                <w:sz w:val="21"/>
                                <w:szCs w:val="21"/>
                              </w:rPr>
                              <w:t>.</w:t>
                            </w:r>
                          </w:p>
                          <w:p w14:paraId="09BE0532" w14:textId="77777777" w:rsidR="00AD09EE" w:rsidRPr="008A40A6" w:rsidRDefault="00AD09EE" w:rsidP="00AD09EE">
                            <w:pPr>
                              <w:jc w:val="center"/>
                              <w:rPr>
                                <w:rFonts w:ascii="Arial" w:hAnsi="Arial" w:cs="Arial"/>
                                <w:sz w:val="10"/>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ED8D6" id="_x0000_t202" coordsize="21600,21600" o:spt="202" path="m,l,21600r21600,l21600,xe">
                <v:stroke joinstyle="miter"/>
                <v:path gradientshapeok="t" o:connecttype="rect"/>
              </v:shapetype>
              <v:shape id="Text Box 2" o:spid="_x0000_s1026" type="#_x0000_t202" style="position:absolute;left:0;text-align:left;margin-left:11.25pt;margin-top:344.7pt;width:443.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">
                <v:textbox style="mso-fit-shape-to-text:t">
                  <w:txbxContent>
                    <w:p w14:paraId="69E12163" w14:textId="77777777" w:rsidR="00AD09EE" w:rsidRPr="008A40A6" w:rsidRDefault="00AD09EE" w:rsidP="00AD09EE">
                      <w:pPr>
                        <w:jc w:val="both"/>
                        <w:rPr>
                          <w:rFonts w:ascii="Arial" w:hAnsi="Arial" w:cs="Arial"/>
                          <w:sz w:val="10"/>
                          <w:szCs w:val="21"/>
                        </w:rPr>
                      </w:pPr>
                    </w:p>
                    <w:p w14:paraId="7CCAC394" w14:textId="36287768" w:rsidR="00AD09EE" w:rsidRDefault="00AD09EE" w:rsidP="00AD09EE">
                      <w:pPr>
                        <w:jc w:val="center"/>
                        <w:rPr>
                          <w:rFonts w:ascii="Arial" w:hAnsi="Arial" w:cs="Arial"/>
                          <w:sz w:val="21"/>
                          <w:szCs w:val="21"/>
                        </w:rPr>
                      </w:pPr>
                      <w:r>
                        <w:rPr>
                          <w:rFonts w:ascii="Arial" w:hAnsi="Arial" w:cs="Arial"/>
                          <w:sz w:val="21"/>
                          <w:szCs w:val="21"/>
                        </w:rPr>
                        <w:t>Co</w:t>
                      </w:r>
                      <w:r w:rsidRPr="008A40A6">
                        <w:rPr>
                          <w:rFonts w:ascii="Arial" w:hAnsi="Arial" w:cs="Arial"/>
                          <w:sz w:val="21"/>
                          <w:szCs w:val="21"/>
                        </w:rPr>
                        <w:t xml:space="preserve">mments should be received </w:t>
                      </w:r>
                      <w:r w:rsidRPr="008A40A6">
                        <w:rPr>
                          <w:rFonts w:ascii="Arial" w:hAnsi="Arial" w:cs="Arial"/>
                          <w:sz w:val="21"/>
                          <w:szCs w:val="21"/>
                        </w:rPr>
                        <w:t xml:space="preserve">by </w:t>
                      </w:r>
                      <w:r w:rsidR="00BB048C">
                        <w:rPr>
                          <w:rFonts w:ascii="Arial" w:hAnsi="Arial" w:cs="Arial"/>
                          <w:sz w:val="21"/>
                          <w:szCs w:val="21"/>
                        </w:rPr>
                        <w:t>Ju</w:t>
                      </w:r>
                      <w:r w:rsidR="00CD61CD">
                        <w:rPr>
                          <w:rFonts w:ascii="Arial" w:hAnsi="Arial" w:cs="Arial"/>
                          <w:sz w:val="21"/>
                          <w:szCs w:val="21"/>
                        </w:rPr>
                        <w:t>ly</w:t>
                      </w:r>
                      <w:r w:rsidRPr="008A40A6">
                        <w:rPr>
                          <w:rFonts w:ascii="Arial" w:hAnsi="Arial" w:cs="Arial"/>
                          <w:sz w:val="21"/>
                          <w:szCs w:val="21"/>
                        </w:rPr>
                        <w:t xml:space="preserve"> </w:t>
                      </w:r>
                      <w:r w:rsidR="00952D3A">
                        <w:rPr>
                          <w:rFonts w:ascii="Arial" w:hAnsi="Arial" w:cs="Arial"/>
                          <w:sz w:val="21"/>
                          <w:szCs w:val="21"/>
                        </w:rPr>
                        <w:t>12</w:t>
                      </w:r>
                      <w:r w:rsidRPr="008A40A6">
                        <w:rPr>
                          <w:rFonts w:ascii="Arial" w:hAnsi="Arial" w:cs="Arial"/>
                          <w:sz w:val="21"/>
                          <w:szCs w:val="21"/>
                        </w:rPr>
                        <w:t>, 202</w:t>
                      </w:r>
                      <w:r w:rsidR="00CC7A7C">
                        <w:rPr>
                          <w:rFonts w:ascii="Arial" w:hAnsi="Arial" w:cs="Arial"/>
                          <w:sz w:val="21"/>
                          <w:szCs w:val="21"/>
                        </w:rPr>
                        <w:t>1</w:t>
                      </w:r>
                      <w:r w:rsidRPr="008A40A6">
                        <w:rPr>
                          <w:rFonts w:ascii="Arial" w:hAnsi="Arial" w:cs="Arial"/>
                          <w:sz w:val="21"/>
                          <w:szCs w:val="21"/>
                        </w:rPr>
                        <w:t xml:space="preserve">, and </w:t>
                      </w:r>
                      <w:r w:rsidRPr="008A40A6">
                        <w:rPr>
                          <w:rFonts w:ascii="Arial" w:hAnsi="Arial" w:cs="Arial"/>
                          <w:sz w:val="21"/>
                          <w:szCs w:val="21"/>
                        </w:rPr>
                        <w:t xml:space="preserve">sent by electronic mail to </w:t>
                      </w:r>
                      <w:r w:rsidR="0098696E">
                        <w:rPr>
                          <w:rFonts w:ascii="Arial" w:hAnsi="Arial" w:cs="Arial"/>
                          <w:sz w:val="21"/>
                          <w:szCs w:val="21"/>
                        </w:rPr>
                        <w:t>Sue</w:t>
                      </w:r>
                      <w:r w:rsidRPr="008A40A6">
                        <w:rPr>
                          <w:rFonts w:ascii="Arial" w:hAnsi="Arial" w:cs="Arial"/>
                          <w:sz w:val="21"/>
                          <w:szCs w:val="21"/>
                        </w:rPr>
                        <w:t xml:space="preserve"> </w:t>
                      </w:r>
                      <w:r w:rsidR="0098696E">
                        <w:rPr>
                          <w:rFonts w:ascii="Arial" w:hAnsi="Arial" w:cs="Arial"/>
                          <w:sz w:val="21"/>
                          <w:szCs w:val="21"/>
                        </w:rPr>
                        <w:t>Hicks</w:t>
                      </w:r>
                      <w:r w:rsidRPr="008A40A6">
                        <w:rPr>
                          <w:rFonts w:ascii="Arial" w:hAnsi="Arial" w:cs="Arial"/>
                          <w:sz w:val="21"/>
                          <w:szCs w:val="21"/>
                        </w:rPr>
                        <w:t xml:space="preserve"> at </w:t>
                      </w:r>
                      <w:r w:rsidR="0098696E">
                        <w:rPr>
                          <w:rFonts w:ascii="Arial" w:hAnsi="Arial" w:cs="Arial"/>
                          <w:sz w:val="21"/>
                          <w:szCs w:val="21"/>
                        </w:rPr>
                        <w:t>sue.hicks</w:t>
                      </w:r>
                      <w:r w:rsidRPr="008A40A6">
                        <w:rPr>
                          <w:rFonts w:ascii="Arial" w:hAnsi="Arial" w:cs="Arial"/>
                          <w:sz w:val="21"/>
                          <w:szCs w:val="21"/>
                        </w:rPr>
                        <w:t xml:space="preserve">@aicpa-cima.com, or you can send them by mail to </w:t>
                      </w:r>
                      <w:r w:rsidR="0098696E">
                        <w:rPr>
                          <w:rFonts w:ascii="Arial" w:hAnsi="Arial" w:cs="Arial"/>
                          <w:sz w:val="21"/>
                          <w:szCs w:val="21"/>
                        </w:rPr>
                        <w:t>AICPA</w:t>
                      </w:r>
                      <w:r w:rsidR="00920E67">
                        <w:rPr>
                          <w:rFonts w:ascii="Arial" w:hAnsi="Arial" w:cs="Arial"/>
                          <w:sz w:val="21"/>
                          <w:szCs w:val="21"/>
                        </w:rPr>
                        <w:t>,</w:t>
                      </w:r>
                      <w:r w:rsidR="0098696E">
                        <w:rPr>
                          <w:rFonts w:ascii="Arial" w:hAnsi="Arial" w:cs="Arial"/>
                          <w:sz w:val="21"/>
                          <w:szCs w:val="21"/>
                        </w:rPr>
                        <w:t xml:space="preserve"> </w:t>
                      </w:r>
                      <w:r w:rsidRPr="008A40A6">
                        <w:rPr>
                          <w:rFonts w:ascii="Arial" w:hAnsi="Arial" w:cs="Arial"/>
                          <w:sz w:val="21"/>
                          <w:szCs w:val="21"/>
                        </w:rPr>
                        <w:t xml:space="preserve">attention: </w:t>
                      </w:r>
                      <w:r w:rsidR="0098696E">
                        <w:rPr>
                          <w:rFonts w:ascii="Arial" w:hAnsi="Arial" w:cs="Arial"/>
                          <w:sz w:val="21"/>
                          <w:szCs w:val="21"/>
                        </w:rPr>
                        <w:t>Sue Hicks</w:t>
                      </w:r>
                      <w:r w:rsidRPr="008A40A6">
                        <w:rPr>
                          <w:rFonts w:ascii="Arial" w:hAnsi="Arial" w:cs="Arial"/>
                          <w:sz w:val="21"/>
                          <w:szCs w:val="21"/>
                        </w:rPr>
                        <w:t>, 1</w:t>
                      </w:r>
                      <w:r w:rsidR="0098696E">
                        <w:rPr>
                          <w:rFonts w:ascii="Arial" w:hAnsi="Arial" w:cs="Arial"/>
                          <w:sz w:val="21"/>
                          <w:szCs w:val="21"/>
                        </w:rPr>
                        <w:t>45</w:t>
                      </w:r>
                      <w:r w:rsidRPr="008A40A6">
                        <w:rPr>
                          <w:rFonts w:ascii="Arial" w:hAnsi="Arial" w:cs="Arial"/>
                          <w:sz w:val="21"/>
                          <w:szCs w:val="21"/>
                        </w:rPr>
                        <w:t xml:space="preserve">5 </w:t>
                      </w:r>
                      <w:r w:rsidR="0098696E">
                        <w:rPr>
                          <w:rFonts w:ascii="Arial" w:hAnsi="Arial" w:cs="Arial"/>
                          <w:sz w:val="21"/>
                          <w:szCs w:val="21"/>
                        </w:rPr>
                        <w:t xml:space="preserve">Pennsylvania </w:t>
                      </w:r>
                      <w:r w:rsidRPr="008A40A6">
                        <w:rPr>
                          <w:rFonts w:ascii="Arial" w:hAnsi="Arial" w:cs="Arial"/>
                          <w:sz w:val="21"/>
                          <w:szCs w:val="21"/>
                        </w:rPr>
                        <w:t>Avenue</w:t>
                      </w:r>
                      <w:r w:rsidR="0098696E">
                        <w:rPr>
                          <w:rFonts w:ascii="Arial" w:hAnsi="Arial" w:cs="Arial"/>
                          <w:sz w:val="21"/>
                          <w:szCs w:val="21"/>
                        </w:rPr>
                        <w:t>, NW, Washington, DC</w:t>
                      </w:r>
                      <w:r w:rsidRPr="008A40A6">
                        <w:rPr>
                          <w:rFonts w:ascii="Arial" w:hAnsi="Arial" w:cs="Arial"/>
                          <w:sz w:val="21"/>
                          <w:szCs w:val="21"/>
                        </w:rPr>
                        <w:t xml:space="preserve">, </w:t>
                      </w:r>
                      <w:r w:rsidR="0098696E">
                        <w:rPr>
                          <w:rFonts w:ascii="Arial" w:hAnsi="Arial" w:cs="Arial"/>
                          <w:sz w:val="21"/>
                          <w:szCs w:val="21"/>
                        </w:rPr>
                        <w:t>20004</w:t>
                      </w:r>
                      <w:r w:rsidRPr="008A40A6">
                        <w:rPr>
                          <w:rFonts w:ascii="Arial" w:hAnsi="Arial" w:cs="Arial"/>
                          <w:sz w:val="21"/>
                          <w:szCs w:val="21"/>
                        </w:rPr>
                        <w:t>.</w:t>
                      </w:r>
                    </w:p>
                    <w:p w14:paraId="09BE0532" w14:textId="77777777" w:rsidR="00AD09EE" w:rsidRPr="008A40A6" w:rsidRDefault="00AD09EE" w:rsidP="00AD09EE">
                      <w:pPr>
                        <w:jc w:val="center"/>
                        <w:rPr>
                          <w:rFonts w:ascii="Arial" w:hAnsi="Arial" w:cs="Arial"/>
                          <w:sz w:val="10"/>
                          <w:szCs w:val="21"/>
                        </w:rPr>
                      </w:pPr>
                    </w:p>
                  </w:txbxContent>
                </v:textbox>
                <w10:wrap type="square" anchorx="margin"/>
              </v:shape>
            </w:pict>
          </mc:Fallback>
        </mc:AlternateContent>
      </w:r>
    </w:p>
    <w:sectPr w:rsidR="00032FFF" w:rsidRPr="00315D93" w:rsidSect="00ED082F">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206D" w14:textId="77777777" w:rsidR="00EB1983" w:rsidRDefault="00EB1983" w:rsidP="00876776">
      <w:r>
        <w:separator/>
      </w:r>
    </w:p>
  </w:endnote>
  <w:endnote w:type="continuationSeparator" w:id="0">
    <w:p w14:paraId="23936EEE" w14:textId="77777777" w:rsidR="00EB1983" w:rsidRDefault="00EB1983" w:rsidP="0087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D050" w14:textId="77777777" w:rsidR="00497C48" w:rsidRDefault="0049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CD38" w14:textId="77777777" w:rsidR="00D72DA8" w:rsidRPr="00C42F9E" w:rsidRDefault="00BA7274" w:rsidP="00D72DA8">
    <w:pPr>
      <w:pStyle w:val="Footer"/>
      <w:jc w:val="center"/>
      <w:rPr>
        <w:rFonts w:ascii="Arial" w:hAnsi="Arial" w:cs="Arial"/>
        <w:color w:val="72246C"/>
        <w:sz w:val="28"/>
        <w:szCs w:val="28"/>
      </w:rPr>
    </w:pPr>
    <w:hyperlink r:id="rId1" w:history="1">
      <w:r w:rsidR="00D72DA8" w:rsidRPr="00C42F9E">
        <w:rPr>
          <w:rStyle w:val="Hyperlink"/>
          <w:rFonts w:ascii="Arial" w:hAnsi="Arial" w:cs="Arial"/>
          <w:color w:val="72246C"/>
          <w:sz w:val="28"/>
          <w:szCs w:val="28"/>
        </w:rPr>
        <w:t>www.aicpa.org/frc</w:t>
      </w:r>
    </w:hyperlink>
  </w:p>
  <w:p w14:paraId="4397701F" w14:textId="77777777" w:rsidR="00D72DA8" w:rsidRDefault="00D72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0627" w14:textId="6CA8B8FB" w:rsidR="00170CA2" w:rsidRPr="00C42F9E" w:rsidRDefault="00BA7274" w:rsidP="00C42F9E">
    <w:pPr>
      <w:pStyle w:val="Footer"/>
      <w:jc w:val="center"/>
      <w:rPr>
        <w:rFonts w:ascii="Arial" w:hAnsi="Arial" w:cs="Arial"/>
        <w:color w:val="72246C"/>
        <w:sz w:val="28"/>
        <w:szCs w:val="28"/>
      </w:rPr>
    </w:pPr>
    <w:hyperlink r:id="rId1" w:history="1">
      <w:r w:rsidR="00C42F9E" w:rsidRPr="00C42F9E">
        <w:rPr>
          <w:rStyle w:val="Hyperlink"/>
          <w:rFonts w:ascii="Arial" w:hAnsi="Arial" w:cs="Arial"/>
          <w:color w:val="72246C"/>
          <w:sz w:val="28"/>
          <w:szCs w:val="28"/>
        </w:rPr>
        <w:t>www.aicpa.org/frc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06AB" w14:textId="77777777" w:rsidR="00EB1983" w:rsidRDefault="00EB1983" w:rsidP="00876776">
      <w:r>
        <w:separator/>
      </w:r>
    </w:p>
  </w:footnote>
  <w:footnote w:type="continuationSeparator" w:id="0">
    <w:p w14:paraId="03C83713" w14:textId="77777777" w:rsidR="00EB1983" w:rsidRDefault="00EB1983" w:rsidP="00876776">
      <w:r>
        <w:continuationSeparator/>
      </w:r>
    </w:p>
  </w:footnote>
  <w:footnote w:id="1">
    <w:p w14:paraId="5CAFDAB9" w14:textId="77777777" w:rsidR="00087B2D" w:rsidRPr="00F961C4" w:rsidRDefault="00087B2D" w:rsidP="00087B2D">
      <w:pPr>
        <w:pStyle w:val="FootnoteText"/>
        <w:rPr>
          <w:rFonts w:ascii="Times New Roman" w:hAnsi="Times New Roman" w:cs="Times New Roman"/>
        </w:rPr>
      </w:pPr>
      <w:r w:rsidRPr="00F961C4">
        <w:rPr>
          <w:rStyle w:val="FootnoteReference"/>
          <w:rFonts w:ascii="Times New Roman" w:hAnsi="Times New Roman" w:cs="Times New Roman"/>
        </w:rPr>
        <w:footnoteRef/>
      </w:r>
      <w:r w:rsidRPr="00F961C4">
        <w:rPr>
          <w:rFonts w:ascii="Times New Roman" w:hAnsi="Times New Roman" w:cs="Times New Roman"/>
        </w:rPr>
        <w:t xml:space="preserve"> Per FASB </w:t>
      </w:r>
      <w:r>
        <w:rPr>
          <w:rFonts w:ascii="Times New Roman" w:hAnsi="Times New Roman" w:cs="Times New Roman"/>
        </w:rPr>
        <w:t>ASC</w:t>
      </w:r>
      <w:r w:rsidRPr="00F961C4">
        <w:rPr>
          <w:rFonts w:ascii="Times New Roman" w:hAnsi="Times New Roman" w:cs="Times New Roman"/>
        </w:rPr>
        <w:t xml:space="preserve"> 606-10-15-2.</w:t>
      </w:r>
    </w:p>
  </w:footnote>
  <w:footnote w:id="2">
    <w:p w14:paraId="6166DD06" w14:textId="77777777" w:rsidR="00087B2D" w:rsidRDefault="00087B2D" w:rsidP="00087B2D">
      <w:pPr>
        <w:pStyle w:val="FootnoteText"/>
      </w:pPr>
      <w:r>
        <w:rPr>
          <w:rStyle w:val="FootnoteReference"/>
        </w:rPr>
        <w:footnoteRef/>
      </w:r>
      <w:r>
        <w:t xml:space="preserve"> </w:t>
      </w:r>
      <w:r>
        <w:rPr>
          <w:rFonts w:ascii="Times New Roman" w:hAnsi="Times New Roman" w:cs="Times New Roman"/>
        </w:rPr>
        <w:t>Subject to the guidance in</w:t>
      </w:r>
      <w:r w:rsidRPr="009E2216">
        <w:rPr>
          <w:rFonts w:ascii="Times New Roman" w:hAnsi="Times New Roman" w:cs="Times New Roman"/>
        </w:rPr>
        <w:t xml:space="preserve"> </w:t>
      </w:r>
      <w:r>
        <w:rPr>
          <w:rFonts w:ascii="Times New Roman" w:hAnsi="Times New Roman" w:cs="Times New Roman"/>
        </w:rPr>
        <w:t>FASB ASC</w:t>
      </w:r>
      <w:r w:rsidRPr="009E2216">
        <w:rPr>
          <w:rFonts w:ascii="Times New Roman" w:hAnsi="Times New Roman" w:cs="Times New Roman"/>
        </w:rPr>
        <w:t xml:space="preserve"> 960, </w:t>
      </w:r>
      <w:r>
        <w:rPr>
          <w:rFonts w:ascii="Times New Roman" w:hAnsi="Times New Roman" w:cs="Times New Roman"/>
        </w:rPr>
        <w:t xml:space="preserve">962, and </w:t>
      </w:r>
      <w:r w:rsidRPr="009E2216">
        <w:rPr>
          <w:rFonts w:ascii="Times New Roman" w:hAnsi="Times New Roman" w:cs="Times New Roman"/>
        </w:rPr>
        <w:t>965.</w:t>
      </w:r>
    </w:p>
  </w:footnote>
  <w:footnote w:id="3">
    <w:p w14:paraId="423A1CA6" w14:textId="77777777" w:rsidR="00087B2D" w:rsidRDefault="00087B2D" w:rsidP="00087B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FE53" w14:textId="77777777" w:rsidR="00497C48" w:rsidRDefault="00497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705D" w14:textId="77777777" w:rsidR="00497C48" w:rsidRDefault="00497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1E53" w14:textId="77777777" w:rsidR="00D308DC" w:rsidRDefault="0018529C" w:rsidP="00D308DC">
    <w:pPr>
      <w:pStyle w:val="Header"/>
      <w:ind w:left="3600" w:hanging="3600"/>
    </w:pPr>
    <w:r>
      <w:rPr>
        <w:noProof/>
      </w:rPr>
      <w:drawing>
        <wp:inline distT="0" distB="0" distL="0" distR="0" wp14:anchorId="7D2B3709" wp14:editId="63A2FB38">
          <wp:extent cx="1708531" cy="661481"/>
          <wp:effectExtent l="0" t="0" r="6350" b="5715"/>
          <wp:docPr id="46" name="Picture 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CPA_Short_RGB (004).jpg"/>
                  <pic:cNvPicPr/>
                </pic:nvPicPr>
                <pic:blipFill>
                  <a:blip r:embed="rId1">
                    <a:extLst>
                      <a:ext uri="{28A0092B-C50C-407E-A947-70E740481C1C}">
                        <a14:useLocalDpi xmlns:a14="http://schemas.microsoft.com/office/drawing/2010/main" val="0"/>
                      </a:ext>
                    </a:extLst>
                  </a:blip>
                  <a:stretch>
                    <a:fillRect/>
                  </a:stretch>
                </pic:blipFill>
                <pic:spPr>
                  <a:xfrm>
                    <a:off x="0" y="0"/>
                    <a:ext cx="1823831" cy="706121"/>
                  </a:xfrm>
                  <a:prstGeom prst="rect">
                    <a:avLst/>
                  </a:prstGeom>
                </pic:spPr>
              </pic:pic>
            </a:graphicData>
          </a:graphic>
        </wp:inline>
      </w:drawing>
    </w:r>
    <w:r w:rsidR="00D308DC">
      <w:tab/>
    </w:r>
  </w:p>
  <w:p w14:paraId="03227374" w14:textId="06AF0D59" w:rsidR="00D308DC" w:rsidRPr="00D308DC" w:rsidRDefault="00D308DC" w:rsidP="00D308DC">
    <w:pPr>
      <w:pStyle w:val="Header"/>
      <w:ind w:left="3600" w:hanging="3600"/>
      <w:rPr>
        <w:rFonts w:ascii="Arial" w:hAnsi="Arial" w:cs="Arial"/>
      </w:rPr>
    </w:pPr>
    <w:r>
      <w:tab/>
    </w:r>
    <w:r>
      <w:tab/>
    </w:r>
    <w:r>
      <w:tab/>
    </w:r>
    <w:r w:rsidR="006113DE">
      <w:t>June</w:t>
    </w:r>
    <w:r w:rsidR="006113DE">
      <w:rPr>
        <w:rFonts w:ascii="Arial" w:hAnsi="Arial" w:cs="Arial"/>
        <w:sz w:val="22"/>
      </w:rPr>
      <w:t xml:space="preserve"> </w:t>
    </w:r>
    <w:r w:rsidR="00303A86">
      <w:rPr>
        <w:rFonts w:ascii="Arial" w:hAnsi="Arial" w:cs="Arial"/>
        <w:sz w:val="22"/>
      </w:rPr>
      <w:t>7</w:t>
    </w:r>
    <w:r w:rsidRPr="00D308DC">
      <w:rPr>
        <w:rFonts w:ascii="Arial" w:hAnsi="Arial" w:cs="Arial"/>
        <w:sz w:val="22"/>
      </w:rPr>
      <w:t>,</w:t>
    </w:r>
    <w:r w:rsidR="00F260E5">
      <w:rPr>
        <w:rFonts w:ascii="Arial" w:hAnsi="Arial" w:cs="Arial"/>
        <w:sz w:val="22"/>
      </w:rPr>
      <w:t xml:space="preserve"> </w:t>
    </w:r>
    <w:r w:rsidRPr="00D308DC">
      <w:rPr>
        <w:rFonts w:ascii="Arial" w:hAnsi="Arial" w:cs="Arial"/>
        <w:sz w:val="22"/>
      </w:rPr>
      <w:t>202</w:t>
    </w:r>
    <w:r w:rsidR="000E74CA">
      <w:rPr>
        <w:rFonts w:ascii="Arial" w:hAnsi="Arial" w:cs="Arial"/>
        <w:sz w:val="22"/>
      </w:rPr>
      <w:t>1</w:t>
    </w:r>
  </w:p>
  <w:p w14:paraId="4E380BEF" w14:textId="77777777" w:rsidR="00CE647D" w:rsidRDefault="00016977" w:rsidP="009877EA">
    <w:pPr>
      <w:pStyle w:val="Header"/>
      <w:ind w:left="3600" w:hanging="3600"/>
      <w:jc w:val="right"/>
      <w:rPr>
        <w:rFonts w:ascii="Arial" w:hAnsi="Arial" w:cs="Arial"/>
        <w:bCs/>
        <w:color w:val="000000"/>
        <w:sz w:val="22"/>
        <w:szCs w:val="22"/>
      </w:rPr>
    </w:pPr>
    <w:r>
      <w:rPr>
        <w:rFonts w:ascii="Arial" w:hAnsi="Arial" w:cs="Arial"/>
        <w:color w:val="000000"/>
        <w:sz w:val="22"/>
        <w:szCs w:val="22"/>
      </w:rPr>
      <w:t xml:space="preserve">Applicability of FASB ASC 606, </w:t>
    </w:r>
    <w:r w:rsidR="00CE647D">
      <w:rPr>
        <w:rFonts w:ascii="Arial" w:hAnsi="Arial" w:cs="Arial"/>
        <w:i/>
        <w:iCs/>
        <w:color w:val="000000"/>
        <w:sz w:val="22"/>
        <w:szCs w:val="22"/>
      </w:rPr>
      <w:t>Revenue from Contracts with Customers,</w:t>
    </w:r>
    <w:r w:rsidR="00084BE7" w:rsidRPr="009877EA">
      <w:rPr>
        <w:rFonts w:ascii="Arial" w:hAnsi="Arial" w:cs="Arial"/>
        <w:bCs/>
        <w:color w:val="000000"/>
        <w:sz w:val="22"/>
        <w:szCs w:val="22"/>
      </w:rPr>
      <w:t xml:space="preserve"> </w:t>
    </w:r>
  </w:p>
  <w:p w14:paraId="4E09466C" w14:textId="35D52D4F" w:rsidR="0018529C" w:rsidRPr="009877EA" w:rsidRDefault="00084BE7" w:rsidP="009877EA">
    <w:pPr>
      <w:pStyle w:val="Header"/>
      <w:ind w:left="3600" w:hanging="3600"/>
      <w:jc w:val="right"/>
      <w:rPr>
        <w:rFonts w:ascii="Arial" w:hAnsi="Arial" w:cs="Arial"/>
        <w:sz w:val="22"/>
        <w:szCs w:val="22"/>
      </w:rPr>
    </w:pPr>
    <w:r w:rsidRPr="009877EA">
      <w:rPr>
        <w:rFonts w:ascii="Arial" w:hAnsi="Arial" w:cs="Arial"/>
        <w:bCs/>
        <w:color w:val="000000"/>
        <w:sz w:val="22"/>
        <w:szCs w:val="22"/>
      </w:rPr>
      <w:t>t</w:t>
    </w:r>
    <w:r w:rsidR="005F5AC5">
      <w:rPr>
        <w:rFonts w:ascii="Arial" w:hAnsi="Arial" w:cs="Arial"/>
        <w:bCs/>
        <w:color w:val="000000"/>
        <w:sz w:val="22"/>
        <w:szCs w:val="22"/>
      </w:rPr>
      <w:t xml:space="preserve">o </w:t>
    </w:r>
    <w:r w:rsidR="00CE647D">
      <w:rPr>
        <w:rFonts w:ascii="Arial" w:hAnsi="Arial" w:cs="Arial"/>
        <w:bCs/>
        <w:color w:val="000000"/>
        <w:sz w:val="22"/>
        <w:szCs w:val="22"/>
      </w:rPr>
      <w:t xml:space="preserve">employee benefit </w:t>
    </w:r>
    <w:r w:rsidRPr="009877EA">
      <w:rPr>
        <w:rFonts w:ascii="Arial" w:hAnsi="Arial" w:cs="Arial"/>
        <w:bCs/>
        <w:color w:val="000000"/>
        <w:sz w:val="22"/>
        <w:szCs w:val="22"/>
      </w:rPr>
      <w:t>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098"/>
    <w:multiLevelType w:val="multilevel"/>
    <w:tmpl w:val="ACF6F0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8E8278C"/>
    <w:multiLevelType w:val="hybridMultilevel"/>
    <w:tmpl w:val="DD20BAAE"/>
    <w:lvl w:ilvl="0" w:tplc="2D440D08">
      <w:start w:val="1"/>
      <w:numFmt w:val="decimal"/>
      <w:lvlText w:val="%1."/>
      <w:lvlJc w:val="left"/>
      <w:pPr>
        <w:ind w:left="2520" w:hanging="360"/>
      </w:pPr>
      <w:rPr>
        <w:rFonts w:ascii="Arial" w:eastAsiaTheme="minorHAnsi" w:hAnsi="Arial" w:cs="Arial"/>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E2B5320"/>
    <w:multiLevelType w:val="hybridMultilevel"/>
    <w:tmpl w:val="30EA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B42DC"/>
    <w:multiLevelType w:val="hybridMultilevel"/>
    <w:tmpl w:val="5DBEC0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Times New Roman" w:hAnsi="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544503"/>
    <w:multiLevelType w:val="hybridMultilevel"/>
    <w:tmpl w:val="3DC65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6"/>
    <w:rsid w:val="00016977"/>
    <w:rsid w:val="00061A7A"/>
    <w:rsid w:val="00065077"/>
    <w:rsid w:val="00084BE7"/>
    <w:rsid w:val="000853CB"/>
    <w:rsid w:val="00087B2D"/>
    <w:rsid w:val="000E6AD4"/>
    <w:rsid w:val="000E74CA"/>
    <w:rsid w:val="000F25BC"/>
    <w:rsid w:val="00101D70"/>
    <w:rsid w:val="00106437"/>
    <w:rsid w:val="00124F42"/>
    <w:rsid w:val="00170CA2"/>
    <w:rsid w:val="0018269A"/>
    <w:rsid w:val="0018529C"/>
    <w:rsid w:val="001A3E35"/>
    <w:rsid w:val="001D17EF"/>
    <w:rsid w:val="001E17AB"/>
    <w:rsid w:val="001E538D"/>
    <w:rsid w:val="00204AE8"/>
    <w:rsid w:val="00223F4B"/>
    <w:rsid w:val="002549E2"/>
    <w:rsid w:val="002729D9"/>
    <w:rsid w:val="00277FA6"/>
    <w:rsid w:val="002B10BA"/>
    <w:rsid w:val="002D6515"/>
    <w:rsid w:val="002E775D"/>
    <w:rsid w:val="002F196C"/>
    <w:rsid w:val="00303A86"/>
    <w:rsid w:val="00315D93"/>
    <w:rsid w:val="003524B8"/>
    <w:rsid w:val="00355A7E"/>
    <w:rsid w:val="0035753F"/>
    <w:rsid w:val="00364655"/>
    <w:rsid w:val="003778AF"/>
    <w:rsid w:val="003D7864"/>
    <w:rsid w:val="003F0025"/>
    <w:rsid w:val="003F4DAA"/>
    <w:rsid w:val="0040219E"/>
    <w:rsid w:val="00443CE6"/>
    <w:rsid w:val="00482890"/>
    <w:rsid w:val="00484742"/>
    <w:rsid w:val="004856DB"/>
    <w:rsid w:val="00497C48"/>
    <w:rsid w:val="004A7204"/>
    <w:rsid w:val="005105EC"/>
    <w:rsid w:val="00527519"/>
    <w:rsid w:val="00531A76"/>
    <w:rsid w:val="005605A8"/>
    <w:rsid w:val="005A5C44"/>
    <w:rsid w:val="005C37C7"/>
    <w:rsid w:val="005D7E41"/>
    <w:rsid w:val="005E0AAC"/>
    <w:rsid w:val="005E794A"/>
    <w:rsid w:val="005F5AC5"/>
    <w:rsid w:val="00607035"/>
    <w:rsid w:val="006113DE"/>
    <w:rsid w:val="00637DD6"/>
    <w:rsid w:val="00667516"/>
    <w:rsid w:val="006F0D8E"/>
    <w:rsid w:val="006F1D94"/>
    <w:rsid w:val="007436C9"/>
    <w:rsid w:val="00783B2A"/>
    <w:rsid w:val="0078504E"/>
    <w:rsid w:val="007D26CA"/>
    <w:rsid w:val="007F0F02"/>
    <w:rsid w:val="00821556"/>
    <w:rsid w:val="00826337"/>
    <w:rsid w:val="00851836"/>
    <w:rsid w:val="00876776"/>
    <w:rsid w:val="008A1136"/>
    <w:rsid w:val="008A2DC0"/>
    <w:rsid w:val="008A40A6"/>
    <w:rsid w:val="008E2D47"/>
    <w:rsid w:val="00920E67"/>
    <w:rsid w:val="009211A5"/>
    <w:rsid w:val="009220C7"/>
    <w:rsid w:val="00935E74"/>
    <w:rsid w:val="009515F9"/>
    <w:rsid w:val="00952D3A"/>
    <w:rsid w:val="0098696E"/>
    <w:rsid w:val="009877EA"/>
    <w:rsid w:val="009C0900"/>
    <w:rsid w:val="009C6AC9"/>
    <w:rsid w:val="009E2A68"/>
    <w:rsid w:val="009E3286"/>
    <w:rsid w:val="009F2AA0"/>
    <w:rsid w:val="00A4194B"/>
    <w:rsid w:val="00A51FF1"/>
    <w:rsid w:val="00A52B33"/>
    <w:rsid w:val="00A762B6"/>
    <w:rsid w:val="00AD09EE"/>
    <w:rsid w:val="00AE2E9F"/>
    <w:rsid w:val="00AF3BB6"/>
    <w:rsid w:val="00B126B8"/>
    <w:rsid w:val="00B1720C"/>
    <w:rsid w:val="00B24F50"/>
    <w:rsid w:val="00B62A9A"/>
    <w:rsid w:val="00BA7274"/>
    <w:rsid w:val="00BA77A8"/>
    <w:rsid w:val="00BB048C"/>
    <w:rsid w:val="00BD44A8"/>
    <w:rsid w:val="00BD5EFE"/>
    <w:rsid w:val="00C42F9E"/>
    <w:rsid w:val="00C8276D"/>
    <w:rsid w:val="00CC7A7C"/>
    <w:rsid w:val="00CD61CD"/>
    <w:rsid w:val="00CE647D"/>
    <w:rsid w:val="00D27D59"/>
    <w:rsid w:val="00D308DC"/>
    <w:rsid w:val="00D4044B"/>
    <w:rsid w:val="00D5635E"/>
    <w:rsid w:val="00D71632"/>
    <w:rsid w:val="00D72DA8"/>
    <w:rsid w:val="00D875BA"/>
    <w:rsid w:val="00DD290D"/>
    <w:rsid w:val="00DF5110"/>
    <w:rsid w:val="00E02BE8"/>
    <w:rsid w:val="00E146A2"/>
    <w:rsid w:val="00E2504F"/>
    <w:rsid w:val="00E63011"/>
    <w:rsid w:val="00EA70E1"/>
    <w:rsid w:val="00EB1983"/>
    <w:rsid w:val="00ED082F"/>
    <w:rsid w:val="00EE191A"/>
    <w:rsid w:val="00EE6EDD"/>
    <w:rsid w:val="00F260E5"/>
    <w:rsid w:val="00F314B7"/>
    <w:rsid w:val="00F8524C"/>
    <w:rsid w:val="00F86B42"/>
    <w:rsid w:val="00F908F8"/>
    <w:rsid w:val="00FA5472"/>
    <w:rsid w:val="00FB7B11"/>
    <w:rsid w:val="00FE1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C5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776"/>
    <w:pPr>
      <w:tabs>
        <w:tab w:val="center" w:pos="4680"/>
        <w:tab w:val="right" w:pos="9360"/>
      </w:tabs>
    </w:pPr>
  </w:style>
  <w:style w:type="character" w:customStyle="1" w:styleId="HeaderChar">
    <w:name w:val="Header Char"/>
    <w:basedOn w:val="DefaultParagraphFont"/>
    <w:link w:val="Header"/>
    <w:uiPriority w:val="99"/>
    <w:rsid w:val="00876776"/>
  </w:style>
  <w:style w:type="paragraph" w:styleId="Footer">
    <w:name w:val="footer"/>
    <w:basedOn w:val="Normal"/>
    <w:link w:val="FooterChar"/>
    <w:uiPriority w:val="99"/>
    <w:unhideWhenUsed/>
    <w:rsid w:val="00876776"/>
    <w:pPr>
      <w:tabs>
        <w:tab w:val="center" w:pos="4680"/>
        <w:tab w:val="right" w:pos="9360"/>
      </w:tabs>
    </w:pPr>
  </w:style>
  <w:style w:type="character" w:customStyle="1" w:styleId="FooterChar">
    <w:name w:val="Footer Char"/>
    <w:basedOn w:val="DefaultParagraphFont"/>
    <w:link w:val="Footer"/>
    <w:uiPriority w:val="99"/>
    <w:rsid w:val="00876776"/>
  </w:style>
  <w:style w:type="paragraph" w:styleId="ListParagraph">
    <w:name w:val="List Paragraph"/>
    <w:basedOn w:val="Normal"/>
    <w:uiPriority w:val="34"/>
    <w:qFormat/>
    <w:rsid w:val="00F314B7"/>
    <w:pPr>
      <w:ind w:left="720"/>
      <w:contextualSpacing/>
    </w:pPr>
  </w:style>
  <w:style w:type="character" w:styleId="Hyperlink">
    <w:name w:val="Hyperlink"/>
    <w:basedOn w:val="DefaultParagraphFont"/>
    <w:uiPriority w:val="99"/>
    <w:unhideWhenUsed/>
    <w:rsid w:val="00223F4B"/>
    <w:rPr>
      <w:color w:val="0563C1" w:themeColor="hyperlink"/>
      <w:u w:val="single"/>
    </w:rPr>
  </w:style>
  <w:style w:type="character" w:styleId="UnresolvedMention">
    <w:name w:val="Unresolved Mention"/>
    <w:basedOn w:val="DefaultParagraphFont"/>
    <w:uiPriority w:val="99"/>
    <w:rsid w:val="00223F4B"/>
    <w:rPr>
      <w:color w:val="605E5C"/>
      <w:shd w:val="clear" w:color="auto" w:fill="E1DFDD"/>
    </w:rPr>
  </w:style>
  <w:style w:type="paragraph" w:styleId="BalloonText">
    <w:name w:val="Balloon Text"/>
    <w:basedOn w:val="Normal"/>
    <w:link w:val="BalloonTextChar"/>
    <w:uiPriority w:val="99"/>
    <w:semiHidden/>
    <w:unhideWhenUsed/>
    <w:rsid w:val="00510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5EC"/>
    <w:rPr>
      <w:rFonts w:ascii="Segoe UI" w:hAnsi="Segoe UI" w:cs="Segoe UI"/>
      <w:sz w:val="18"/>
      <w:szCs w:val="18"/>
    </w:rPr>
  </w:style>
  <w:style w:type="paragraph" w:styleId="FootnoteText">
    <w:name w:val="footnote text"/>
    <w:basedOn w:val="Normal"/>
    <w:link w:val="FootnoteTextChar"/>
    <w:uiPriority w:val="99"/>
    <w:unhideWhenUsed/>
    <w:rsid w:val="005105EC"/>
    <w:rPr>
      <w:sz w:val="20"/>
      <w:szCs w:val="20"/>
    </w:rPr>
  </w:style>
  <w:style w:type="character" w:customStyle="1" w:styleId="FootnoteTextChar">
    <w:name w:val="Footnote Text Char"/>
    <w:basedOn w:val="DefaultParagraphFont"/>
    <w:link w:val="FootnoteText"/>
    <w:uiPriority w:val="99"/>
    <w:rsid w:val="005105EC"/>
    <w:rPr>
      <w:sz w:val="20"/>
      <w:szCs w:val="20"/>
    </w:rPr>
  </w:style>
  <w:style w:type="character" w:styleId="FootnoteReference">
    <w:name w:val="footnote reference"/>
    <w:basedOn w:val="DefaultParagraphFont"/>
    <w:uiPriority w:val="99"/>
    <w:semiHidden/>
    <w:unhideWhenUsed/>
    <w:rsid w:val="005105EC"/>
    <w:rPr>
      <w:vertAlign w:val="superscript"/>
    </w:rPr>
  </w:style>
  <w:style w:type="character" w:styleId="CommentReference">
    <w:name w:val="annotation reference"/>
    <w:basedOn w:val="DefaultParagraphFont"/>
    <w:uiPriority w:val="99"/>
    <w:semiHidden/>
    <w:unhideWhenUsed/>
    <w:rsid w:val="001E538D"/>
    <w:rPr>
      <w:sz w:val="16"/>
      <w:szCs w:val="16"/>
    </w:rPr>
  </w:style>
  <w:style w:type="paragraph" w:styleId="CommentText">
    <w:name w:val="annotation text"/>
    <w:basedOn w:val="Normal"/>
    <w:link w:val="CommentTextChar"/>
    <w:uiPriority w:val="99"/>
    <w:unhideWhenUsed/>
    <w:rsid w:val="001E538D"/>
    <w:rPr>
      <w:sz w:val="20"/>
      <w:szCs w:val="20"/>
    </w:rPr>
  </w:style>
  <w:style w:type="character" w:customStyle="1" w:styleId="CommentTextChar">
    <w:name w:val="Comment Text Char"/>
    <w:basedOn w:val="DefaultParagraphFont"/>
    <w:link w:val="CommentText"/>
    <w:uiPriority w:val="99"/>
    <w:rsid w:val="001E538D"/>
    <w:rPr>
      <w:sz w:val="20"/>
      <w:szCs w:val="20"/>
    </w:rPr>
  </w:style>
  <w:style w:type="paragraph" w:styleId="CommentSubject">
    <w:name w:val="annotation subject"/>
    <w:basedOn w:val="CommentText"/>
    <w:next w:val="CommentText"/>
    <w:link w:val="CommentSubjectChar"/>
    <w:uiPriority w:val="99"/>
    <w:semiHidden/>
    <w:unhideWhenUsed/>
    <w:rsid w:val="001E538D"/>
    <w:rPr>
      <w:b/>
      <w:bCs/>
    </w:rPr>
  </w:style>
  <w:style w:type="character" w:customStyle="1" w:styleId="CommentSubjectChar">
    <w:name w:val="Comment Subject Char"/>
    <w:basedOn w:val="CommentTextChar"/>
    <w:link w:val="CommentSubject"/>
    <w:uiPriority w:val="99"/>
    <w:semiHidden/>
    <w:rsid w:val="001E538D"/>
    <w:rPr>
      <w:b/>
      <w:bCs/>
      <w:sz w:val="20"/>
      <w:szCs w:val="20"/>
    </w:rPr>
  </w:style>
  <w:style w:type="table" w:styleId="TableGrid">
    <w:name w:val="Table Grid"/>
    <w:basedOn w:val="TableNormal"/>
    <w:uiPriority w:val="39"/>
    <w:rsid w:val="003524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indent0">
    <w:name w:val="ps_indent_0"/>
    <w:basedOn w:val="Normal"/>
    <w:rsid w:val="003524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eastAsia="Times New Roman" w:hAnsi="Times New Roman" w:cs="Times New Roman"/>
    </w:rPr>
  </w:style>
  <w:style w:type="paragraph" w:customStyle="1" w:styleId="psparanumber">
    <w:name w:val="ps_para_number"/>
    <w:basedOn w:val="Normal"/>
    <w:link w:val="psparanumberChar"/>
    <w:rsid w:val="003524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hanging="720"/>
    </w:pPr>
    <w:rPr>
      <w:rFonts w:ascii="Times New Roman" w:eastAsia="Times New Roman" w:hAnsi="Times New Roman" w:cs="Times New Roman"/>
    </w:rPr>
  </w:style>
  <w:style w:type="character" w:customStyle="1" w:styleId="psparanumberChar">
    <w:name w:val="ps_para_number Char"/>
    <w:link w:val="psparanumber"/>
    <w:rsid w:val="003524B8"/>
    <w:rPr>
      <w:rFonts w:ascii="Times New Roman" w:eastAsia="Times New Roman" w:hAnsi="Times New Roman" w:cs="Times New Roman"/>
    </w:rPr>
  </w:style>
  <w:style w:type="paragraph" w:customStyle="1" w:styleId="psindenthang2">
    <w:name w:val="ps_indent_hang_2"/>
    <w:basedOn w:val="Normal"/>
    <w:rsid w:val="00087B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144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icpa.org/fr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icpa.org/fr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273FE1C06312449A97DFD469CFCC02" ma:contentTypeVersion="13" ma:contentTypeDescription="Create a new document." ma:contentTypeScope="" ma:versionID="1e71df35ff81467e9aa9fa7ced88728e">
  <xsd:schema xmlns:xsd="http://www.w3.org/2001/XMLSchema" xmlns:xs="http://www.w3.org/2001/XMLSchema" xmlns:p="http://schemas.microsoft.com/office/2006/metadata/properties" xmlns:ns3="4f15992d-aa8e-4451-954e-f8683e152c4a" xmlns:ns4="f9b62a37-1f7c-48b9-9c69-c47b4d7078e8" targetNamespace="http://schemas.microsoft.com/office/2006/metadata/properties" ma:root="true" ma:fieldsID="4b603287e9279030f46ce5de2e06e5b0" ns3:_="" ns4:_="">
    <xsd:import namespace="4f15992d-aa8e-4451-954e-f8683e152c4a"/>
    <xsd:import namespace="f9b62a37-1f7c-48b9-9c69-c47b4d7078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5992d-aa8e-4451-954e-f8683e152c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62a37-1f7c-48b9-9c69-c47b4d707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b62a37-1f7c-48b9-9c69-c47b4d7078e8">
      <UserInfo>
        <DisplayName>Ed Rose</DisplayName>
        <AccountId>375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1CFB9-E726-4EFE-BC92-E3377BBC7A02}">
  <ds:schemaRefs>
    <ds:schemaRef ds:uri="http://schemas.openxmlformats.org/officeDocument/2006/bibliography"/>
  </ds:schemaRefs>
</ds:datastoreItem>
</file>

<file path=customXml/itemProps2.xml><?xml version="1.0" encoding="utf-8"?>
<ds:datastoreItem xmlns:ds="http://schemas.openxmlformats.org/officeDocument/2006/customXml" ds:itemID="{3A447D81-C78F-4B84-BDE4-F847F6D8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5992d-aa8e-4451-954e-f8683e152c4a"/>
    <ds:schemaRef ds:uri="f9b62a37-1f7c-48b9-9c69-c47b4d707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B9E71-99DB-461E-B38C-55AA3F687F53}">
  <ds:schemaRefs>
    <ds:schemaRef ds:uri="http://schemas.microsoft.com/office/2006/metadata/properties"/>
    <ds:schemaRef ds:uri="http://schemas.microsoft.com/office/infopath/2007/PartnerControls"/>
    <ds:schemaRef ds:uri="f9b62a37-1f7c-48b9-9c69-c47b4d7078e8"/>
  </ds:schemaRefs>
</ds:datastoreItem>
</file>

<file path=customXml/itemProps4.xml><?xml version="1.0" encoding="utf-8"?>
<ds:datastoreItem xmlns:ds="http://schemas.openxmlformats.org/officeDocument/2006/customXml" ds:itemID="{5C0FD680-D288-4000-A26E-BE0B2BE08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Dillon</cp:lastModifiedBy>
  <cp:revision>2</cp:revision>
  <dcterms:created xsi:type="dcterms:W3CDTF">2021-06-04T18:05:00Z</dcterms:created>
  <dcterms:modified xsi:type="dcterms:W3CDTF">2021-06-04T18:05:00Z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0x01010033273FE1C06312449A97DFD469CFCC02</vt:lpwstr>
  </property>
</Properties>
</file>