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46" w:rsidRDefault="00330D46" w:rsidP="00F17AB8">
      <w:pPr>
        <w:jc w:val="center"/>
      </w:pPr>
      <w:r>
        <w:rPr>
          <w:noProof/>
        </w:rPr>
        <w:drawing>
          <wp:inline distT="0" distB="0" distL="0" distR="0">
            <wp:extent cx="3686175" cy="4000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686175" cy="400050"/>
                    </a:xfrm>
                    <a:prstGeom prst="rect">
                      <a:avLst/>
                    </a:prstGeom>
                  </pic:spPr>
                </pic:pic>
              </a:graphicData>
            </a:graphic>
          </wp:inline>
        </w:drawing>
      </w:r>
    </w:p>
    <w:p w:rsidR="00330D46" w:rsidRDefault="00330D46" w:rsidP="00330D46">
      <w:pPr>
        <w:pStyle w:val="Header"/>
        <w:rPr>
          <w:b/>
        </w:rPr>
      </w:pPr>
    </w:p>
    <w:p w:rsidR="00330D46" w:rsidRPr="00330D46" w:rsidRDefault="00330D46" w:rsidP="00330D46">
      <w:pPr>
        <w:pStyle w:val="Header"/>
        <w:jc w:val="center"/>
        <w:rPr>
          <w:b/>
          <w:sz w:val="36"/>
          <w:szCs w:val="36"/>
        </w:rPr>
      </w:pPr>
      <w:bookmarkStart w:id="0" w:name="_GoBack"/>
      <w:r w:rsidRPr="00330D46">
        <w:rPr>
          <w:b/>
          <w:sz w:val="36"/>
          <w:szCs w:val="36"/>
        </w:rPr>
        <w:t>Commissions and Contingent Fees</w:t>
      </w:r>
    </w:p>
    <w:bookmarkEnd w:id="0"/>
    <w:p w:rsidR="00330D46" w:rsidRDefault="00330D46" w:rsidP="00EB7C9E">
      <w:pPr>
        <w:pStyle w:val="Header"/>
        <w:rPr>
          <w:b/>
          <w:i/>
          <w:sz w:val="20"/>
          <w:szCs w:val="20"/>
        </w:rPr>
      </w:pPr>
    </w:p>
    <w:p w:rsidR="00330D46" w:rsidRDefault="00330D46" w:rsidP="00330D46">
      <w:pPr>
        <w:pStyle w:val="Header"/>
        <w:jc w:val="center"/>
      </w:pPr>
      <w:r w:rsidRPr="00D75BC7">
        <w:t>AICPA State Regulation and Legislation</w:t>
      </w:r>
    </w:p>
    <w:p w:rsidR="00F17AB8" w:rsidRDefault="00F17AB8" w:rsidP="00330D46">
      <w:pPr>
        <w:pStyle w:val="Header"/>
        <w:jc w:val="center"/>
      </w:pPr>
    </w:p>
    <w:p w:rsidR="0096273C" w:rsidRPr="000444D4" w:rsidRDefault="0096273C" w:rsidP="00640AEC">
      <w:pPr>
        <w:pStyle w:val="Header"/>
        <w:rPr>
          <w:i/>
          <w:sz w:val="22"/>
          <w:szCs w:val="22"/>
        </w:rPr>
      </w:pPr>
      <w:r w:rsidRPr="000444D4">
        <w:rPr>
          <w:i/>
          <w:sz w:val="22"/>
          <w:szCs w:val="22"/>
        </w:rPr>
        <w:t xml:space="preserve">Commissions &amp; contingent fees are prohibited </w:t>
      </w:r>
      <w:r w:rsidR="00F17AB8" w:rsidRPr="000444D4">
        <w:rPr>
          <w:i/>
          <w:sz w:val="22"/>
          <w:szCs w:val="22"/>
        </w:rPr>
        <w:t xml:space="preserve">if the CPA is engaged in </w:t>
      </w:r>
      <w:r w:rsidRPr="000444D4">
        <w:rPr>
          <w:i/>
          <w:sz w:val="22"/>
          <w:szCs w:val="22"/>
        </w:rPr>
        <w:t xml:space="preserve">an audit or compilation and/or examination of financial information </w:t>
      </w:r>
      <w:r w:rsidR="00F17AB8" w:rsidRPr="000444D4">
        <w:rPr>
          <w:i/>
          <w:sz w:val="22"/>
          <w:szCs w:val="22"/>
        </w:rPr>
        <w:t>such as preparing an original or amended tax return or claim for a tax refund</w:t>
      </w:r>
      <w:r w:rsidRPr="000444D4">
        <w:rPr>
          <w:i/>
          <w:sz w:val="22"/>
          <w:szCs w:val="22"/>
        </w:rPr>
        <w:t xml:space="preserve">.  If any of these services are not being performed, a commission &amp; contingent fee is </w:t>
      </w:r>
      <w:r w:rsidR="00A941B8" w:rsidRPr="000444D4">
        <w:rPr>
          <w:i/>
          <w:sz w:val="22"/>
          <w:szCs w:val="22"/>
        </w:rPr>
        <w:t xml:space="preserve">permitted </w:t>
      </w:r>
      <w:r w:rsidR="00F17AB8" w:rsidRPr="000444D4">
        <w:rPr>
          <w:i/>
          <w:sz w:val="22"/>
          <w:szCs w:val="22"/>
        </w:rPr>
        <w:t xml:space="preserve">unless noted in this chart </w:t>
      </w:r>
      <w:r w:rsidRPr="000444D4">
        <w:rPr>
          <w:i/>
          <w:sz w:val="22"/>
          <w:szCs w:val="22"/>
        </w:rPr>
        <w:t>so long as</w:t>
      </w:r>
      <w:r w:rsidR="00F43EB7" w:rsidRPr="000444D4">
        <w:rPr>
          <w:i/>
          <w:sz w:val="22"/>
          <w:szCs w:val="22"/>
        </w:rPr>
        <w:t xml:space="preserve"> it is disclosed to the client.</w:t>
      </w:r>
    </w:p>
    <w:p w:rsidR="0096273C" w:rsidRPr="000444D4" w:rsidRDefault="0096273C" w:rsidP="00640AEC">
      <w:pPr>
        <w:pStyle w:val="Header"/>
        <w:rPr>
          <w:i/>
          <w:sz w:val="22"/>
          <w:szCs w:val="22"/>
        </w:rPr>
      </w:pPr>
    </w:p>
    <w:p w:rsidR="0096273C" w:rsidRPr="000444D4" w:rsidRDefault="0096273C" w:rsidP="00640AEC">
      <w:pPr>
        <w:pStyle w:val="Header"/>
        <w:rPr>
          <w:i/>
          <w:sz w:val="22"/>
          <w:szCs w:val="22"/>
        </w:rPr>
      </w:pPr>
      <w:r w:rsidRPr="000444D4">
        <w:rPr>
          <w:i/>
          <w:sz w:val="22"/>
          <w:szCs w:val="22"/>
        </w:rPr>
        <w:t>Referral fees</w:t>
      </w:r>
      <w:r w:rsidR="00F17AB8" w:rsidRPr="000444D4">
        <w:rPr>
          <w:i/>
          <w:sz w:val="22"/>
          <w:szCs w:val="22"/>
        </w:rPr>
        <w:t xml:space="preserve"> in the states that allow commissions &amp; contingent fees</w:t>
      </w:r>
      <w:r w:rsidRPr="000444D4">
        <w:rPr>
          <w:i/>
          <w:sz w:val="22"/>
          <w:szCs w:val="22"/>
        </w:rPr>
        <w:t xml:space="preserve"> require disclosure of the acceptance and/or the payment of the referral fee to the client</w:t>
      </w:r>
      <w:r w:rsidR="00A941B8" w:rsidRPr="000444D4">
        <w:rPr>
          <w:i/>
          <w:sz w:val="22"/>
          <w:szCs w:val="22"/>
        </w:rPr>
        <w:t>, unless otherwise noted as being prohibited in this chart</w:t>
      </w:r>
      <w:r w:rsidR="00F43EB7" w:rsidRPr="000444D4">
        <w:rPr>
          <w:i/>
          <w:sz w:val="22"/>
          <w:szCs w:val="22"/>
        </w:rPr>
        <w:t>.</w:t>
      </w:r>
    </w:p>
    <w:p w:rsidR="0096273C" w:rsidRDefault="0096273C" w:rsidP="00640AEC">
      <w:pPr>
        <w:pStyle w:val="Header"/>
        <w:rPr>
          <w:i/>
          <w:sz w:val="20"/>
          <w:szCs w:val="20"/>
        </w:rPr>
      </w:pPr>
    </w:p>
    <w:p w:rsidR="00330D46" w:rsidRPr="00103EEF" w:rsidRDefault="00330D46" w:rsidP="00330D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330D46" w:rsidRPr="009E16E8" w:rsidTr="00F43EB7">
        <w:tc>
          <w:tcPr>
            <w:tcW w:w="3888" w:type="dxa"/>
            <w:shd w:val="clear" w:color="auto" w:fill="E6E6E6"/>
          </w:tcPr>
          <w:p w:rsidR="00330D46" w:rsidRPr="009E16E8" w:rsidRDefault="00330D46" w:rsidP="0096273C">
            <w:pPr>
              <w:rPr>
                <w:b/>
              </w:rPr>
            </w:pPr>
            <w:r w:rsidRPr="009E16E8">
              <w:rPr>
                <w:b/>
              </w:rPr>
              <w:t>Jurisdiction</w:t>
            </w:r>
          </w:p>
        </w:tc>
        <w:tc>
          <w:tcPr>
            <w:tcW w:w="5400" w:type="dxa"/>
            <w:shd w:val="clear" w:color="auto" w:fill="E6E6E6"/>
          </w:tcPr>
          <w:p w:rsidR="00330D46" w:rsidRPr="009E16E8" w:rsidRDefault="00A941B8" w:rsidP="0096273C">
            <w:pPr>
              <w:rPr>
                <w:b/>
              </w:rPr>
            </w:pPr>
            <w:r>
              <w:rPr>
                <w:b/>
              </w:rPr>
              <w:t>Commissions/</w:t>
            </w:r>
            <w:r w:rsidR="00330D46" w:rsidRPr="009E16E8">
              <w:rPr>
                <w:b/>
              </w:rPr>
              <w:t>Contingent Fees</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Alabama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Alaska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Arizona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Arkansas</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California</w:t>
                </w:r>
              </w:smartTag>
            </w:smartTag>
          </w:p>
        </w:tc>
        <w:tc>
          <w:tcPr>
            <w:tcW w:w="5400" w:type="dxa"/>
          </w:tcPr>
          <w:p w:rsidR="00330D46" w:rsidRPr="00A55288" w:rsidRDefault="00160712" w:rsidP="0096273C">
            <w:r>
              <w:t>Acceptance of a commission or contingent fee is allowed, but payment of a commission is prohibited.  Acceptance of a referral fee is also prohibited.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Colorado</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PlaceType">
                <w:r>
                  <w:t>Commonwealth</w:t>
                </w:r>
              </w:smartTag>
              <w:r>
                <w:t xml:space="preserve"> of </w:t>
              </w:r>
              <w:smartTag w:uri="urn:schemas-microsoft-com:office:smarttags" w:element="PlaceName">
                <w:r>
                  <w:t>Northern Mariana Islands</w:t>
                </w:r>
              </w:smartTag>
            </w:smartTag>
          </w:p>
        </w:tc>
        <w:tc>
          <w:tcPr>
            <w:tcW w:w="5400" w:type="dxa"/>
          </w:tcPr>
          <w:p w:rsidR="00330D46"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Connecticut</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Delaware</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District of Columbia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Florida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country-region">
                <w:r w:rsidRPr="00A55288">
                  <w:t>Georgia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r>
                <w:t>Guam</w:t>
              </w:r>
            </w:smartTag>
          </w:p>
        </w:tc>
        <w:tc>
          <w:tcPr>
            <w:tcW w:w="5400" w:type="dxa"/>
          </w:tcPr>
          <w:p w:rsidR="00330D46"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Hawaii</w:t>
                </w:r>
              </w:smartTag>
            </w:smartTag>
          </w:p>
        </w:tc>
        <w:tc>
          <w:tcPr>
            <w:tcW w:w="5400" w:type="dxa"/>
          </w:tcPr>
          <w:p w:rsidR="00330D46" w:rsidRPr="00A55288" w:rsidRDefault="00330D46" w:rsidP="0096273C">
            <w:r>
              <w:t xml:space="preserve">Prohibited </w:t>
            </w:r>
            <w:r w:rsidR="000D59A9">
              <w:t>(</w:t>
            </w:r>
            <w:r>
              <w:t>via regulation</w:t>
            </w:r>
            <w:r w:rsidR="000D59A9">
              <w:t>)</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Idaho</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Illinois</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Indiana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Iowa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Kansas</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Kentucky</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Louisiana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Maine</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Maryland</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Massachusetts</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Michigan</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Minnesota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lastRenderedPageBreak/>
                  <w:t>Mississippi</w:t>
                </w:r>
              </w:smartTag>
            </w:smartTag>
          </w:p>
        </w:tc>
        <w:tc>
          <w:tcPr>
            <w:tcW w:w="5400" w:type="dxa"/>
          </w:tcPr>
          <w:p w:rsidR="00330D46" w:rsidRPr="00A55288" w:rsidRDefault="000D59A9" w:rsidP="000D59A9">
            <w:r>
              <w:t>Allowed (Contingent fees prohibited)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Missouri</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Montana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Nebraska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Nevada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New Hampshire</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New Jersey</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New Mexico</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New York</w:t>
                </w:r>
              </w:smartTag>
            </w:smartTag>
          </w:p>
        </w:tc>
        <w:tc>
          <w:tcPr>
            <w:tcW w:w="5400" w:type="dxa"/>
          </w:tcPr>
          <w:p w:rsidR="00330D46" w:rsidRPr="00A55288" w:rsidRDefault="00E655D5" w:rsidP="000D59A9">
            <w:r>
              <w:t xml:space="preserve">Allowed </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North Carolina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North Dakota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Ohio</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Oklahoma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Oregon</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Pennsylvania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r>
                <w:t>Puerto Rico</w:t>
              </w:r>
            </w:smartTag>
          </w:p>
        </w:tc>
        <w:tc>
          <w:tcPr>
            <w:tcW w:w="5400" w:type="dxa"/>
          </w:tcPr>
          <w:p w:rsidR="00330D46" w:rsidRDefault="00330D46" w:rsidP="0096273C">
            <w:r>
              <w:t>Prohibited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Rhode Island</w:t>
                </w:r>
              </w:smartTag>
            </w:smartTag>
          </w:p>
        </w:tc>
        <w:tc>
          <w:tcPr>
            <w:tcW w:w="5400" w:type="dxa"/>
          </w:tcPr>
          <w:p w:rsidR="00330D46" w:rsidRPr="00A55288" w:rsidRDefault="000D59A9"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South Carolina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South Dakota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Tennessee</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Texas</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Utah</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Vermont</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Virginia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r>
                <w:t>Virgin Islands</w:t>
              </w:r>
            </w:smartTag>
          </w:p>
        </w:tc>
        <w:tc>
          <w:tcPr>
            <w:tcW w:w="5400" w:type="dxa"/>
          </w:tcPr>
          <w:p w:rsidR="00330D46" w:rsidRDefault="00330D46" w:rsidP="0096273C">
            <w:r>
              <w:t xml:space="preserve">Prohibited </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Washington</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West Virginia</w:t>
                </w:r>
              </w:smartTag>
            </w:smartTag>
          </w:p>
        </w:tc>
        <w:tc>
          <w:tcPr>
            <w:tcW w:w="5400" w:type="dxa"/>
          </w:tcPr>
          <w:p w:rsidR="00330D46" w:rsidRPr="00A55288" w:rsidRDefault="00330D46" w:rsidP="0096273C">
            <w:r>
              <w:t>Allowed</w:t>
            </w:r>
          </w:p>
        </w:tc>
      </w:tr>
      <w:tr w:rsidR="00330D46" w:rsidRPr="00A55288" w:rsidTr="00F43EB7">
        <w:tc>
          <w:tcPr>
            <w:tcW w:w="3888" w:type="dxa"/>
          </w:tcPr>
          <w:p w:rsidR="00330D46" w:rsidRPr="00A55288" w:rsidRDefault="00330D46" w:rsidP="0096273C">
            <w:smartTag w:uri="urn:schemas-microsoft-com:office:smarttags" w:element="place">
              <w:smartTag w:uri="urn:schemas-microsoft-com:office:smarttags" w:element="State">
                <w:r w:rsidRPr="00A55288">
                  <w:t>Wisconsin</w:t>
                </w:r>
              </w:smartTag>
            </w:smartTag>
          </w:p>
        </w:tc>
        <w:tc>
          <w:tcPr>
            <w:tcW w:w="5400" w:type="dxa"/>
          </w:tcPr>
          <w:p w:rsidR="00330D46" w:rsidRPr="00A55288" w:rsidRDefault="00330D46" w:rsidP="0096273C">
            <w:r>
              <w:t>Allowed</w:t>
            </w:r>
          </w:p>
        </w:tc>
      </w:tr>
      <w:tr w:rsidR="00330D46" w:rsidRPr="00A55288" w:rsidTr="00F43EB7">
        <w:tc>
          <w:tcPr>
            <w:tcW w:w="3888" w:type="dxa"/>
            <w:tcBorders>
              <w:bottom w:val="single" w:sz="4" w:space="0" w:color="auto"/>
            </w:tcBorders>
          </w:tcPr>
          <w:p w:rsidR="00330D46" w:rsidRPr="00A55288" w:rsidRDefault="00330D46" w:rsidP="0096273C">
            <w:smartTag w:uri="urn:schemas-microsoft-com:office:smarttags" w:element="place">
              <w:smartTag w:uri="urn:schemas-microsoft-com:office:smarttags" w:element="State">
                <w:r w:rsidRPr="00A55288">
                  <w:t>Wyoming</w:t>
                </w:r>
              </w:smartTag>
            </w:smartTag>
          </w:p>
        </w:tc>
        <w:tc>
          <w:tcPr>
            <w:tcW w:w="5400" w:type="dxa"/>
            <w:tcBorders>
              <w:bottom w:val="single" w:sz="4" w:space="0" w:color="auto"/>
            </w:tcBorders>
          </w:tcPr>
          <w:p w:rsidR="00330D46" w:rsidRPr="00A55288" w:rsidRDefault="00330D46" w:rsidP="0096273C">
            <w:r>
              <w:t>Allowed</w:t>
            </w:r>
          </w:p>
        </w:tc>
      </w:tr>
      <w:tr w:rsidR="00330D46" w:rsidRPr="00A55288" w:rsidTr="00F43EB7">
        <w:tc>
          <w:tcPr>
            <w:tcW w:w="3888" w:type="dxa"/>
            <w:shd w:val="clear" w:color="auto" w:fill="E6E6E6"/>
          </w:tcPr>
          <w:p w:rsidR="00330D46" w:rsidRPr="009E16E8" w:rsidRDefault="00330D46" w:rsidP="0096273C">
            <w:pPr>
              <w:rPr>
                <w:b/>
              </w:rPr>
            </w:pPr>
            <w:r w:rsidRPr="009E16E8">
              <w:rPr>
                <w:b/>
              </w:rPr>
              <w:t>Uniform Accountancy Act</w:t>
            </w:r>
          </w:p>
        </w:tc>
        <w:tc>
          <w:tcPr>
            <w:tcW w:w="5400" w:type="dxa"/>
            <w:shd w:val="clear" w:color="auto" w:fill="E6E6E6"/>
          </w:tcPr>
          <w:p w:rsidR="00330D46" w:rsidRPr="00A55288" w:rsidRDefault="00330D46" w:rsidP="0096273C">
            <w:r w:rsidRPr="009E16E8">
              <w:rPr>
                <w:b/>
              </w:rPr>
              <w:t>Allowed under Section 14 (n-o)</w:t>
            </w:r>
          </w:p>
        </w:tc>
      </w:tr>
    </w:tbl>
    <w:p w:rsidR="00330D46" w:rsidRDefault="00330D46" w:rsidP="00330D46"/>
    <w:p w:rsidR="00330D46" w:rsidRDefault="00330D46" w:rsidP="00330D46"/>
    <w:p w:rsidR="00330D46" w:rsidRPr="000444D4" w:rsidRDefault="00330D46" w:rsidP="00330D46">
      <w:pPr>
        <w:rPr>
          <w:i/>
          <w:sz w:val="22"/>
          <w:szCs w:val="22"/>
        </w:rPr>
      </w:pPr>
      <w:r w:rsidRPr="000444D4">
        <w:rPr>
          <w:i/>
          <w:sz w:val="22"/>
          <w:szCs w:val="22"/>
        </w:rPr>
        <w:t>A provision permitting the acceptance of commissions and contingent fees, is included in the Uniform Accountancy Act as Sections 14 (n-o).  The language is taken from the AICPA’s Code of Professional Conduct.</w:t>
      </w:r>
    </w:p>
    <w:p w:rsidR="00251C6B" w:rsidRPr="000444D4" w:rsidRDefault="00251C6B" w:rsidP="00330D46">
      <w:pPr>
        <w:rPr>
          <w:i/>
          <w:sz w:val="22"/>
          <w:szCs w:val="22"/>
        </w:rPr>
      </w:pPr>
    </w:p>
    <w:p w:rsidR="00251C6B" w:rsidRPr="000444D4" w:rsidRDefault="00251C6B" w:rsidP="00251C6B">
      <w:pPr>
        <w:pStyle w:val="Blockquote"/>
        <w:ind w:left="720" w:right="0" w:hanging="720"/>
        <w:jc w:val="center"/>
        <w:rPr>
          <w:b/>
          <w:bCs/>
          <w:sz w:val="22"/>
          <w:szCs w:val="22"/>
          <w:u w:val="single"/>
        </w:rPr>
      </w:pPr>
      <w:r w:rsidRPr="000444D4">
        <w:rPr>
          <w:b/>
          <w:bCs/>
          <w:sz w:val="22"/>
          <w:szCs w:val="22"/>
          <w:u w:val="single"/>
        </w:rPr>
        <w:t>Notice to Readers</w:t>
      </w:r>
    </w:p>
    <w:p w:rsidR="00330D46" w:rsidRPr="000444D4" w:rsidRDefault="00251C6B" w:rsidP="00251C6B">
      <w:pPr>
        <w:pStyle w:val="Blockquote"/>
        <w:ind w:left="0" w:right="0"/>
        <w:rPr>
          <w:bCs/>
          <w:sz w:val="22"/>
          <w:szCs w:val="22"/>
        </w:rPr>
      </w:pPr>
      <w:r w:rsidRPr="000444D4">
        <w:rPr>
          <w:bCs/>
          <w:sz w:val="22"/>
          <w:szCs w:val="22"/>
        </w:rPr>
        <w:t>This information is designed to provide illustrative information with respect to the subject matter covered. It was prepared by AICPA staff and has not been considered or acted upon by any senior committees or the AICPA Board of Directors and does not represent an official opinion or position of the AICPA. It is provided with the understanding that the AICPA and its staff are not engaged in rendering legal, accounting, or other professional service. If legal advice or other expert assistance is required, the services of a competent professional person should be sought. The AICPA and its staff make no representations, warranties, or guarantees about and assume no responsibility for the content or application of the material contained herein and expressly disclaim all liability for any damages arising out of the use of, reference to, or reliance on such material.  Any such use, reference or reliance is at your own risk.</w:t>
      </w:r>
    </w:p>
    <w:sectPr w:rsidR="00330D46" w:rsidRPr="000444D4" w:rsidSect="000444D4">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D8" w:rsidRDefault="00652ED8" w:rsidP="00036BA8">
      <w:r>
        <w:separator/>
      </w:r>
    </w:p>
  </w:endnote>
  <w:endnote w:type="continuationSeparator" w:id="0">
    <w:p w:rsidR="00652ED8" w:rsidRDefault="00652ED8" w:rsidP="0003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22416"/>
      <w:docPartObj>
        <w:docPartGallery w:val="Page Numbers (Bottom of Page)"/>
        <w:docPartUnique/>
      </w:docPartObj>
    </w:sdtPr>
    <w:sdtEndPr>
      <w:rPr>
        <w:noProof/>
      </w:rPr>
    </w:sdtEndPr>
    <w:sdtContent>
      <w:p w:rsidR="00036BA8" w:rsidRDefault="00036BA8">
        <w:pPr>
          <w:pStyle w:val="Footer"/>
          <w:jc w:val="center"/>
          <w:rPr>
            <w:noProof/>
          </w:rPr>
        </w:pPr>
        <w:r>
          <w:fldChar w:fldCharType="begin"/>
        </w:r>
        <w:r>
          <w:instrText xml:space="preserve"> PAGE   \* MERGEFORMAT </w:instrText>
        </w:r>
        <w:r>
          <w:fldChar w:fldCharType="separate"/>
        </w:r>
        <w:r w:rsidR="001A5A4E">
          <w:rPr>
            <w:noProof/>
          </w:rPr>
          <w:t>2</w:t>
        </w:r>
        <w:r>
          <w:rPr>
            <w:noProof/>
          </w:rPr>
          <w:fldChar w:fldCharType="end"/>
        </w:r>
      </w:p>
      <w:p w:rsidR="00036BA8" w:rsidRDefault="00640AEC">
        <w:pPr>
          <w:pStyle w:val="Footer"/>
          <w:jc w:val="center"/>
        </w:pPr>
        <w:r>
          <w:rPr>
            <w:noProof/>
          </w:rPr>
          <w:tab/>
        </w:r>
        <w:r>
          <w:rPr>
            <w:noProof/>
          </w:rPr>
          <w:tab/>
          <w:t>March 2014</w:t>
        </w:r>
      </w:p>
    </w:sdtContent>
  </w:sdt>
  <w:p w:rsidR="00036BA8" w:rsidRDefault="00036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D8" w:rsidRDefault="00652ED8" w:rsidP="00036BA8">
      <w:r>
        <w:separator/>
      </w:r>
    </w:p>
  </w:footnote>
  <w:footnote w:type="continuationSeparator" w:id="0">
    <w:p w:rsidR="00652ED8" w:rsidRDefault="00652ED8" w:rsidP="00036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46"/>
    <w:rsid w:val="00036BA8"/>
    <w:rsid w:val="000444D4"/>
    <w:rsid w:val="00093232"/>
    <w:rsid w:val="000D59A9"/>
    <w:rsid w:val="000F7293"/>
    <w:rsid w:val="0016033B"/>
    <w:rsid w:val="00160712"/>
    <w:rsid w:val="001A5A4E"/>
    <w:rsid w:val="00251C6B"/>
    <w:rsid w:val="00330D46"/>
    <w:rsid w:val="00512E4F"/>
    <w:rsid w:val="00640AEC"/>
    <w:rsid w:val="00652ED8"/>
    <w:rsid w:val="007C5659"/>
    <w:rsid w:val="00932975"/>
    <w:rsid w:val="0096273C"/>
    <w:rsid w:val="00A941B8"/>
    <w:rsid w:val="00D75C7A"/>
    <w:rsid w:val="00DD387C"/>
    <w:rsid w:val="00E655D5"/>
    <w:rsid w:val="00EB7C9E"/>
    <w:rsid w:val="00F17AB8"/>
    <w:rsid w:val="00F4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D46"/>
    <w:pPr>
      <w:tabs>
        <w:tab w:val="center" w:pos="4320"/>
        <w:tab w:val="right" w:pos="8640"/>
      </w:tabs>
    </w:pPr>
  </w:style>
  <w:style w:type="character" w:customStyle="1" w:styleId="HeaderChar">
    <w:name w:val="Header Char"/>
    <w:basedOn w:val="DefaultParagraphFont"/>
    <w:link w:val="Header"/>
    <w:rsid w:val="00330D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73C"/>
    <w:rPr>
      <w:rFonts w:ascii="Tahoma" w:hAnsi="Tahoma" w:cs="Tahoma"/>
      <w:sz w:val="16"/>
      <w:szCs w:val="16"/>
    </w:rPr>
  </w:style>
  <w:style w:type="character" w:customStyle="1" w:styleId="BalloonTextChar">
    <w:name w:val="Balloon Text Char"/>
    <w:basedOn w:val="DefaultParagraphFont"/>
    <w:link w:val="BalloonText"/>
    <w:uiPriority w:val="99"/>
    <w:semiHidden/>
    <w:rsid w:val="0096273C"/>
    <w:rPr>
      <w:rFonts w:ascii="Tahoma" w:eastAsia="Times New Roman" w:hAnsi="Tahoma" w:cs="Tahoma"/>
      <w:sz w:val="16"/>
      <w:szCs w:val="16"/>
    </w:rPr>
  </w:style>
  <w:style w:type="paragraph" w:styleId="Footer">
    <w:name w:val="footer"/>
    <w:basedOn w:val="Normal"/>
    <w:link w:val="FooterChar"/>
    <w:uiPriority w:val="99"/>
    <w:unhideWhenUsed/>
    <w:rsid w:val="00036BA8"/>
    <w:pPr>
      <w:tabs>
        <w:tab w:val="center" w:pos="4680"/>
        <w:tab w:val="right" w:pos="9360"/>
      </w:tabs>
    </w:pPr>
  </w:style>
  <w:style w:type="character" w:customStyle="1" w:styleId="FooterChar">
    <w:name w:val="Footer Char"/>
    <w:basedOn w:val="DefaultParagraphFont"/>
    <w:link w:val="Footer"/>
    <w:uiPriority w:val="99"/>
    <w:rsid w:val="00036BA8"/>
    <w:rPr>
      <w:rFonts w:ascii="Times New Roman" w:eastAsia="Times New Roman" w:hAnsi="Times New Roman" w:cs="Times New Roman"/>
      <w:sz w:val="24"/>
      <w:szCs w:val="24"/>
    </w:rPr>
  </w:style>
  <w:style w:type="paragraph" w:customStyle="1" w:styleId="Blockquote">
    <w:name w:val="Blockquote"/>
    <w:basedOn w:val="Normal"/>
    <w:rsid w:val="00251C6B"/>
    <w:pPr>
      <w:snapToGrid w:val="0"/>
      <w:spacing w:before="100" w:after="100"/>
      <w:ind w:left="360" w:right="36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D46"/>
    <w:pPr>
      <w:tabs>
        <w:tab w:val="center" w:pos="4320"/>
        <w:tab w:val="right" w:pos="8640"/>
      </w:tabs>
    </w:pPr>
  </w:style>
  <w:style w:type="character" w:customStyle="1" w:styleId="HeaderChar">
    <w:name w:val="Header Char"/>
    <w:basedOn w:val="DefaultParagraphFont"/>
    <w:link w:val="Header"/>
    <w:rsid w:val="00330D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73C"/>
    <w:rPr>
      <w:rFonts w:ascii="Tahoma" w:hAnsi="Tahoma" w:cs="Tahoma"/>
      <w:sz w:val="16"/>
      <w:szCs w:val="16"/>
    </w:rPr>
  </w:style>
  <w:style w:type="character" w:customStyle="1" w:styleId="BalloonTextChar">
    <w:name w:val="Balloon Text Char"/>
    <w:basedOn w:val="DefaultParagraphFont"/>
    <w:link w:val="BalloonText"/>
    <w:uiPriority w:val="99"/>
    <w:semiHidden/>
    <w:rsid w:val="0096273C"/>
    <w:rPr>
      <w:rFonts w:ascii="Tahoma" w:eastAsia="Times New Roman" w:hAnsi="Tahoma" w:cs="Tahoma"/>
      <w:sz w:val="16"/>
      <w:szCs w:val="16"/>
    </w:rPr>
  </w:style>
  <w:style w:type="paragraph" w:styleId="Footer">
    <w:name w:val="footer"/>
    <w:basedOn w:val="Normal"/>
    <w:link w:val="FooterChar"/>
    <w:uiPriority w:val="99"/>
    <w:unhideWhenUsed/>
    <w:rsid w:val="00036BA8"/>
    <w:pPr>
      <w:tabs>
        <w:tab w:val="center" w:pos="4680"/>
        <w:tab w:val="right" w:pos="9360"/>
      </w:tabs>
    </w:pPr>
  </w:style>
  <w:style w:type="character" w:customStyle="1" w:styleId="FooterChar">
    <w:name w:val="Footer Char"/>
    <w:basedOn w:val="DefaultParagraphFont"/>
    <w:link w:val="Footer"/>
    <w:uiPriority w:val="99"/>
    <w:rsid w:val="00036BA8"/>
    <w:rPr>
      <w:rFonts w:ascii="Times New Roman" w:eastAsia="Times New Roman" w:hAnsi="Times New Roman" w:cs="Times New Roman"/>
      <w:sz w:val="24"/>
      <w:szCs w:val="24"/>
    </w:rPr>
  </w:style>
  <w:style w:type="paragraph" w:customStyle="1" w:styleId="Blockquote">
    <w:name w:val="Blockquote"/>
    <w:basedOn w:val="Normal"/>
    <w:rsid w:val="00251C6B"/>
    <w:pPr>
      <w:snapToGrid w:val="0"/>
      <w:spacing w:before="100" w:after="100"/>
      <w:ind w:left="360" w:right="36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AICPA</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apallasch</dc:creator>
  <cp:lastModifiedBy>AICPA</cp:lastModifiedBy>
  <cp:revision>2</cp:revision>
  <dcterms:created xsi:type="dcterms:W3CDTF">2014-09-24T20:44:00Z</dcterms:created>
  <dcterms:modified xsi:type="dcterms:W3CDTF">2014-09-24T20:44:00Z</dcterms:modified>
</cp:coreProperties>
</file>