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E9" w:rsidRPr="00972C6E" w:rsidRDefault="008E5654" w:rsidP="00972C6E">
      <w:pPr>
        <w:jc w:val="center"/>
        <w:rPr>
          <w:b/>
          <w:sz w:val="28"/>
          <w:szCs w:val="28"/>
        </w:rPr>
      </w:pPr>
      <w:r>
        <w:rPr>
          <w:b/>
          <w:sz w:val="28"/>
          <w:szCs w:val="28"/>
        </w:rPr>
        <w:t>Common Areas of Inquiry</w:t>
      </w:r>
      <w:r w:rsidR="000B5145">
        <w:rPr>
          <w:b/>
          <w:sz w:val="28"/>
          <w:szCs w:val="28"/>
        </w:rPr>
        <w:t xml:space="preserve">: </w:t>
      </w:r>
      <w:r w:rsidR="003C0E74">
        <w:rPr>
          <w:b/>
          <w:sz w:val="28"/>
          <w:szCs w:val="28"/>
        </w:rPr>
        <w:t>The Proposed Revisions to the Definition of</w:t>
      </w:r>
      <w:r w:rsidR="00D20BE9" w:rsidRPr="00972C6E">
        <w:rPr>
          <w:b/>
          <w:sz w:val="28"/>
          <w:szCs w:val="28"/>
        </w:rPr>
        <w:t xml:space="preserve"> Attest in the Uniform Accountancy A</w:t>
      </w:r>
      <w:r w:rsidR="003C0E74">
        <w:rPr>
          <w:b/>
          <w:sz w:val="28"/>
          <w:szCs w:val="28"/>
        </w:rPr>
        <w:t>ct (UAA) and Their Impact on</w:t>
      </w:r>
      <w:r w:rsidR="00D20BE9" w:rsidRPr="00972C6E">
        <w:rPr>
          <w:b/>
          <w:sz w:val="28"/>
          <w:szCs w:val="28"/>
        </w:rPr>
        <w:t xml:space="preserve"> Peer Review, Independence, Governmen</w:t>
      </w:r>
      <w:r w:rsidR="00C62716">
        <w:rPr>
          <w:b/>
          <w:sz w:val="28"/>
          <w:szCs w:val="28"/>
        </w:rPr>
        <w:t>t Auditing</w:t>
      </w:r>
      <w:r w:rsidR="00132D5D">
        <w:rPr>
          <w:b/>
          <w:sz w:val="28"/>
          <w:szCs w:val="28"/>
        </w:rPr>
        <w:t>, and CPA Firm Affiliates</w:t>
      </w:r>
    </w:p>
    <w:p w:rsidR="00DA417A" w:rsidRDefault="00DA417A" w:rsidP="00D20BE9"/>
    <w:p w:rsidR="00EC144F" w:rsidRDefault="00EC144F" w:rsidP="00D20BE9"/>
    <w:p w:rsidR="00856716" w:rsidRDefault="00856716" w:rsidP="00D20BE9">
      <w:r>
        <w:t>In May 2014</w:t>
      </w:r>
      <w:r w:rsidR="00972C6E">
        <w:t xml:space="preserve">, </w:t>
      </w:r>
      <w:r w:rsidR="00D20BE9">
        <w:t>the American Institute of Certified Public Accountants (AICPA) and the National Association of State Boards of A</w:t>
      </w:r>
      <w:r>
        <w:t>ccountancy (NASBA) released new legislative language</w:t>
      </w:r>
      <w:r w:rsidR="003C0E74">
        <w:t xml:space="preserve"> to revise</w:t>
      </w:r>
      <w:r w:rsidR="00D20BE9">
        <w:t xml:space="preserve"> the definition of attest in the profession’s model state accounting act, the </w:t>
      </w:r>
      <w:r w:rsidR="00911D72">
        <w:t>Uniform Accountancy Act (</w:t>
      </w:r>
      <w:r w:rsidR="00D20BE9">
        <w:t>UAA</w:t>
      </w:r>
      <w:r w:rsidR="00911D72">
        <w:t>)</w:t>
      </w:r>
      <w:r w:rsidR="00D20BE9">
        <w:t xml:space="preserve">.  </w:t>
      </w:r>
      <w:r w:rsidR="00476963">
        <w:t>More specifi</w:t>
      </w:r>
      <w:r>
        <w:t xml:space="preserve">cally, the proposal </w:t>
      </w:r>
      <w:r w:rsidR="003C0E74">
        <w:t>alter</w:t>
      </w:r>
      <w:r>
        <w:t>s</w:t>
      </w:r>
      <w:r w:rsidR="00476963">
        <w:t xml:space="preserve"> the attest definition to include all </w:t>
      </w:r>
      <w:r w:rsidR="003E68C5">
        <w:t xml:space="preserve">examination, review and agreed-upon procedures </w:t>
      </w:r>
      <w:r w:rsidR="00476963">
        <w:t xml:space="preserve">engagements performed under the </w:t>
      </w:r>
      <w:r w:rsidR="008E5654">
        <w:t xml:space="preserve">AICPA’s </w:t>
      </w:r>
      <w:r w:rsidR="00476963">
        <w:t>Statement on Standards for Attestation Engagements (SSAEs)</w:t>
      </w:r>
      <w:r>
        <w:t>. Previousl</w:t>
      </w:r>
      <w:r w:rsidR="00476963">
        <w:t>y</w:t>
      </w:r>
      <w:r>
        <w:t>,</w:t>
      </w:r>
      <w:r w:rsidR="00476963">
        <w:t xml:space="preserve"> only examinations of prospective financial informa</w:t>
      </w:r>
      <w:r>
        <w:t>tion performed under the SSAEs we</w:t>
      </w:r>
      <w:r w:rsidR="00102ADD">
        <w:t>re</w:t>
      </w:r>
      <w:r w:rsidR="00476963">
        <w:t xml:space="preserve"> included</w:t>
      </w:r>
      <w:r w:rsidR="00102ADD">
        <w:t xml:space="preserve"> in the definition</w:t>
      </w:r>
      <w:r w:rsidR="008E5654">
        <w:t>.</w:t>
      </w:r>
      <w:r w:rsidR="00476963">
        <w:t xml:space="preserve"> </w:t>
      </w:r>
    </w:p>
    <w:p w:rsidR="008E5654" w:rsidRDefault="008E5654" w:rsidP="00D20BE9">
      <w:r>
        <w:br/>
        <w:t xml:space="preserve">There is a very real set of risks to the public interest associated with non-CPAs issuing reports utilizing AICPA standards and </w:t>
      </w:r>
      <w:r w:rsidR="00911D72">
        <w:t xml:space="preserve">employing </w:t>
      </w:r>
      <w:r>
        <w:t xml:space="preserve">language conventionally used by CPAs.  Implicit in the issuance of such reports is an assumption about the competence, experience, </w:t>
      </w:r>
      <w:r w:rsidR="00911D72">
        <w:t xml:space="preserve">expertise, </w:t>
      </w:r>
      <w:r>
        <w:t>organizational protocols and processes, quality, and government regulatory oversight acc</w:t>
      </w:r>
      <w:r w:rsidR="00911D72">
        <w:t>ompanying those reports.  O</w:t>
      </w:r>
      <w:r>
        <w:t xml:space="preserve">ther market participants do not have these </w:t>
      </w:r>
      <w:r w:rsidR="00911D72">
        <w:t xml:space="preserve">same </w:t>
      </w:r>
      <w:r>
        <w:t xml:space="preserve">public protections or guarantees and this can lead to the public (or other end users of a report) being confused or misled when relying on a report issued by a non-CPA, which uses standard report language that suggests that AICPA standards were applied.  </w:t>
      </w:r>
    </w:p>
    <w:p w:rsidR="00476963" w:rsidRDefault="00476963" w:rsidP="00D20BE9"/>
    <w:p w:rsidR="00972C6E" w:rsidRDefault="00972C6E" w:rsidP="00D20BE9">
      <w:r>
        <w:t xml:space="preserve">Interested parties will want to review the </w:t>
      </w:r>
      <w:r w:rsidR="008E5654">
        <w:t xml:space="preserve">new UAA attest </w:t>
      </w:r>
      <w:r w:rsidR="00856716">
        <w:t>language</w:t>
      </w:r>
      <w:r>
        <w:t xml:space="preserve"> carefully to understand fully how the chang</w:t>
      </w:r>
      <w:r w:rsidR="00856716">
        <w:t>es, if</w:t>
      </w:r>
      <w:r>
        <w:t xml:space="preserve"> brought before state legislatures for enactment, would impact the profession</w:t>
      </w:r>
      <w:r w:rsidR="00102ADD">
        <w:t xml:space="preserve"> and the public</w:t>
      </w:r>
      <w:r>
        <w:t xml:space="preserve">.  </w:t>
      </w:r>
      <w:r w:rsidR="00132D5D">
        <w:t>However, four</w:t>
      </w:r>
      <w:r>
        <w:t xml:space="preserve"> areas that </w:t>
      </w:r>
      <w:r w:rsidR="00476963">
        <w:t xml:space="preserve">are </w:t>
      </w:r>
      <w:r>
        <w:t>likely to raise frequent questions relate to how the proposal might affect peer review,</w:t>
      </w:r>
      <w:r w:rsidR="00132D5D">
        <w:t xml:space="preserve"> questions of independence, </w:t>
      </w:r>
      <w:r>
        <w:t>government standards</w:t>
      </w:r>
      <w:r w:rsidR="00132D5D">
        <w:t>, and CPA firm affiliates</w:t>
      </w:r>
      <w:r>
        <w:t xml:space="preserve">.  This short </w:t>
      </w:r>
      <w:r w:rsidR="003C0E74">
        <w:t>document</w:t>
      </w:r>
      <w:r w:rsidR="008E5654">
        <w:t xml:space="preserve"> is designed to address</w:t>
      </w:r>
      <w:r>
        <w:t xml:space="preserve"> those questions directly.</w:t>
      </w:r>
    </w:p>
    <w:p w:rsidR="00972C6E" w:rsidRDefault="00972C6E" w:rsidP="00D20BE9"/>
    <w:p w:rsidR="00972C6E" w:rsidRPr="00282379" w:rsidRDefault="00972C6E" w:rsidP="00D20BE9">
      <w:pPr>
        <w:pBdr>
          <w:bottom w:val="single" w:sz="12" w:space="1" w:color="auto"/>
        </w:pBdr>
        <w:rPr>
          <w:b/>
        </w:rPr>
      </w:pPr>
      <w:r w:rsidRPr="00282379">
        <w:rPr>
          <w:b/>
        </w:rPr>
        <w:t>Peer Review</w:t>
      </w:r>
    </w:p>
    <w:p w:rsidR="003E68C5" w:rsidRPr="00282379" w:rsidRDefault="003E68C5" w:rsidP="003E68C5">
      <w:r>
        <w:t xml:space="preserve">Currently, when </w:t>
      </w:r>
      <w:r w:rsidRPr="00282379">
        <w:t>a firm is enrolled in</w:t>
      </w:r>
      <w:r>
        <w:t xml:space="preserve"> the AICPA </w:t>
      </w:r>
      <w:r w:rsidRPr="00282379">
        <w:t>peer review</w:t>
      </w:r>
      <w:r>
        <w:t xml:space="preserve"> program</w:t>
      </w:r>
      <w:r w:rsidR="00911D72">
        <w:t xml:space="preserve"> or a state society peer review program using the AICPA </w:t>
      </w:r>
      <w:r w:rsidR="00911D72" w:rsidRPr="00911D72">
        <w:rPr>
          <w:i/>
        </w:rPr>
        <w:t>Standards for Performing and Reporting on Peer Reviews</w:t>
      </w:r>
      <w:r w:rsidRPr="00911D72">
        <w:rPr>
          <w:i/>
        </w:rPr>
        <w:t>,</w:t>
      </w:r>
      <w:r w:rsidRPr="00282379">
        <w:t xml:space="preserve"> all engagements performed under the SSAEs are included in the scope of the peer review</w:t>
      </w:r>
      <w:r>
        <w:t>.  This will not change.</w:t>
      </w:r>
    </w:p>
    <w:p w:rsidR="003E68C5" w:rsidRDefault="003E68C5" w:rsidP="00D20BE9"/>
    <w:p w:rsidR="00476963" w:rsidRPr="00282379" w:rsidRDefault="003E68C5" w:rsidP="00D20BE9">
      <w:r>
        <w:t>Also, currently, there are types of reviews within the peer review program – system and engagement reviews.  The type of engagements performed dictate</w:t>
      </w:r>
      <w:r w:rsidR="00911D72">
        <w:t>s</w:t>
      </w:r>
      <w:r>
        <w:t xml:space="preserve"> what type of review is</w:t>
      </w:r>
      <w:r w:rsidR="00911D72">
        <w:t xml:space="preserve"> applicable</w:t>
      </w:r>
      <w:r>
        <w:t xml:space="preserve">. Some </w:t>
      </w:r>
      <w:r w:rsidR="00476963">
        <w:t xml:space="preserve">states </w:t>
      </w:r>
      <w:r w:rsidR="00476963" w:rsidRPr="00282379">
        <w:t xml:space="preserve">may have differing levels of requirements for system vs. engagement reviews. </w:t>
      </w:r>
      <w:r>
        <w:t>This will need to be reviewed to determine whether conforming state regulations are necessary.</w:t>
      </w:r>
    </w:p>
    <w:p w:rsidR="003E68C5" w:rsidRPr="00282379" w:rsidRDefault="003E68C5" w:rsidP="00972C6E"/>
    <w:p w:rsidR="00282379" w:rsidRDefault="003E68C5" w:rsidP="00972C6E">
      <w:r>
        <w:t>I</w:t>
      </w:r>
      <w:r w:rsidR="00282379" w:rsidRPr="00282379">
        <w:t xml:space="preserve">t is important to note that </w:t>
      </w:r>
      <w:r w:rsidR="00282379" w:rsidRPr="00911D72">
        <w:rPr>
          <w:i/>
        </w:rPr>
        <w:t>non</w:t>
      </w:r>
      <w:r w:rsidR="00102ADD">
        <w:t>-AICPA firms, which</w:t>
      </w:r>
      <w:r w:rsidR="00282379" w:rsidRPr="00282379">
        <w:t xml:space="preserve"> presently o</w:t>
      </w:r>
      <w:r w:rsidR="003C0E74">
        <w:t>nly perform SSAE</w:t>
      </w:r>
      <w:r w:rsidR="00537E86">
        <w:t xml:space="preserve"> engagements</w:t>
      </w:r>
      <w:r w:rsidR="003C0E74">
        <w:t xml:space="preserve"> other than</w:t>
      </w:r>
      <w:r w:rsidR="00DA42C0">
        <w:t xml:space="preserve"> examinations of prospective financial statements, may </w:t>
      </w:r>
      <w:r w:rsidR="00282379" w:rsidRPr="00282379">
        <w:t>not</w:t>
      </w:r>
      <w:r w:rsidR="00DA42C0">
        <w:t xml:space="preserve"> </w:t>
      </w:r>
      <w:r>
        <w:t xml:space="preserve">currently </w:t>
      </w:r>
      <w:r w:rsidR="00DA42C0">
        <w:t>be</w:t>
      </w:r>
      <w:r w:rsidR="00282379" w:rsidRPr="00282379">
        <w:t xml:space="preserve"> required to enroll in and undergo a peer review at this time</w:t>
      </w:r>
      <w:r>
        <w:t xml:space="preserve"> (AICPA firms are already required)</w:t>
      </w:r>
      <w:r w:rsidR="00282379" w:rsidRPr="00282379">
        <w:t xml:space="preserve">.  This proposed change would require all firms which perform SSAEs (whether exclusively or along with other services) to participate in a peer review program.  </w:t>
      </w:r>
      <w:r w:rsidR="00A132DA">
        <w:t>Revising the definition of attest</w:t>
      </w:r>
      <w:r w:rsidR="00282379" w:rsidRPr="00282379">
        <w:t xml:space="preserve"> levels the playing field </w:t>
      </w:r>
      <w:r w:rsidR="00537E86">
        <w:t>for</w:t>
      </w:r>
      <w:r w:rsidR="00A132DA">
        <w:t xml:space="preserve"> all firms </w:t>
      </w:r>
      <w:r w:rsidR="00282379" w:rsidRPr="00282379">
        <w:t xml:space="preserve">and promotes public protection.  </w:t>
      </w:r>
    </w:p>
    <w:p w:rsidR="00EC144F" w:rsidRDefault="00EC144F" w:rsidP="00972C6E">
      <w:pPr>
        <w:rPr>
          <w:b/>
        </w:rPr>
      </w:pPr>
    </w:p>
    <w:p w:rsidR="00EC144F" w:rsidRDefault="00282379" w:rsidP="00EC144F">
      <w:pPr>
        <w:pBdr>
          <w:bottom w:val="single" w:sz="12" w:space="1" w:color="auto"/>
        </w:pBdr>
        <w:rPr>
          <w:b/>
        </w:rPr>
      </w:pPr>
      <w:r w:rsidRPr="00DA417A">
        <w:rPr>
          <w:b/>
        </w:rPr>
        <w:t>Independence</w:t>
      </w:r>
      <w:r w:rsidR="00DA417A" w:rsidRPr="00DA417A">
        <w:rPr>
          <w:b/>
        </w:rPr>
        <w:t xml:space="preserve"> and the AICPA Code of Conduct</w:t>
      </w:r>
    </w:p>
    <w:p w:rsidR="00DA417A" w:rsidRPr="00DA417A" w:rsidRDefault="00EC144F" w:rsidP="00282379">
      <w:r>
        <w:t xml:space="preserve">The proposed changes to attest are not expected to affect independence rules. </w:t>
      </w:r>
      <w:r w:rsidR="00282379" w:rsidRPr="00DA417A">
        <w:t>The AICPA Code of Conduct includes the following definition for an “attest engagement”:</w:t>
      </w:r>
    </w:p>
    <w:p w:rsidR="00DA417A" w:rsidRPr="00DA417A" w:rsidRDefault="00282379" w:rsidP="00DA417A">
      <w:pPr>
        <w:tabs>
          <w:tab w:val="left" w:pos="765"/>
        </w:tabs>
      </w:pPr>
      <w:r w:rsidRPr="00DA417A">
        <w:t xml:space="preserve"> </w:t>
      </w:r>
      <w:r w:rsidR="00DA417A" w:rsidRPr="00DA417A">
        <w:tab/>
      </w:r>
    </w:p>
    <w:p w:rsidR="00282379" w:rsidRPr="00DA417A" w:rsidRDefault="00282379" w:rsidP="00DA417A">
      <w:pPr>
        <w:ind w:left="720"/>
      </w:pPr>
      <w:r w:rsidRPr="00DA417A">
        <w:t>An attest engagement is an engagement that requires independence as defined in AICPA Professional Standards.</w:t>
      </w:r>
    </w:p>
    <w:p w:rsidR="00282379" w:rsidRPr="00DA417A" w:rsidRDefault="00282379" w:rsidP="00282379"/>
    <w:p w:rsidR="00282379" w:rsidRDefault="003E68C5" w:rsidP="00282379">
      <w:r>
        <w:t>P</w:t>
      </w:r>
      <w:r w:rsidR="00DA417A" w:rsidRPr="00DA417A">
        <w:t xml:space="preserve">rofessional standards </w:t>
      </w:r>
      <w:r>
        <w:t xml:space="preserve">of practice </w:t>
      </w:r>
      <w:r w:rsidR="00DA417A" w:rsidRPr="00DA417A">
        <w:t>(i.e. SAS</w:t>
      </w:r>
      <w:r w:rsidR="00282379" w:rsidRPr="00DA417A">
        <w:t>, SSARS, SSAEs) determine when independence is required. If the professional standard</w:t>
      </w:r>
      <w:r w:rsidR="00DA417A" w:rsidRPr="00DA417A">
        <w:t xml:space="preserve">s require independence, </w:t>
      </w:r>
      <w:r w:rsidR="002872FE">
        <w:t xml:space="preserve">the </w:t>
      </w:r>
      <w:r w:rsidR="00282379" w:rsidRPr="00DA417A">
        <w:t xml:space="preserve">engagement </w:t>
      </w:r>
      <w:r w:rsidR="002872FE">
        <w:t xml:space="preserve">is </w:t>
      </w:r>
      <w:r w:rsidR="00282379" w:rsidRPr="00DA417A">
        <w:t xml:space="preserve">an </w:t>
      </w:r>
      <w:r w:rsidR="002872FE">
        <w:t>“</w:t>
      </w:r>
      <w:r w:rsidR="00282379" w:rsidRPr="00DA417A">
        <w:t>attest</w:t>
      </w:r>
      <w:r w:rsidR="002872FE">
        <w:t>”</w:t>
      </w:r>
      <w:r w:rsidR="00282379" w:rsidRPr="00DA417A">
        <w:t xml:space="preserve"> enga</w:t>
      </w:r>
      <w:r w:rsidR="00DA417A" w:rsidRPr="00DA417A">
        <w:t xml:space="preserve">gement for purposes of the Code and the </w:t>
      </w:r>
      <w:r w:rsidR="00282379" w:rsidRPr="00DA417A">
        <w:t xml:space="preserve">independence rules.  All SSAE engagements </w:t>
      </w:r>
      <w:r w:rsidR="00DA417A" w:rsidRPr="00DA417A">
        <w:t>currently require independence, so</w:t>
      </w:r>
      <w:r w:rsidR="00282379" w:rsidRPr="00DA417A">
        <w:t xml:space="preserve"> </w:t>
      </w:r>
      <w:r w:rsidR="00DA417A" w:rsidRPr="00DA417A">
        <w:t>the proposed expansion in</w:t>
      </w:r>
      <w:r w:rsidR="00282379" w:rsidRPr="00DA417A">
        <w:t xml:space="preserve"> t</w:t>
      </w:r>
      <w:r w:rsidR="00DA417A" w:rsidRPr="00DA417A">
        <w:t>he definition of attest would not change the requirements of the Code</w:t>
      </w:r>
      <w:r w:rsidR="00282379" w:rsidRPr="00DA417A">
        <w:t xml:space="preserve">. </w:t>
      </w:r>
    </w:p>
    <w:p w:rsidR="00282379" w:rsidRPr="00282379" w:rsidRDefault="00282379" w:rsidP="00972C6E"/>
    <w:p w:rsidR="00282379" w:rsidRPr="000B5145" w:rsidRDefault="0022381D" w:rsidP="00972C6E">
      <w:pPr>
        <w:pBdr>
          <w:bottom w:val="single" w:sz="12" w:space="1" w:color="auto"/>
        </w:pBdr>
        <w:rPr>
          <w:b/>
        </w:rPr>
      </w:pPr>
      <w:r w:rsidRPr="000B5145">
        <w:rPr>
          <w:b/>
        </w:rPr>
        <w:t>Gov</w:t>
      </w:r>
      <w:r w:rsidR="00C62716" w:rsidRPr="000B5145">
        <w:rPr>
          <w:b/>
        </w:rPr>
        <w:t>ernment</w:t>
      </w:r>
      <w:r w:rsidR="00537E86">
        <w:rPr>
          <w:b/>
        </w:rPr>
        <w:t>al</w:t>
      </w:r>
      <w:r w:rsidR="00C62716" w:rsidRPr="000B5145">
        <w:rPr>
          <w:b/>
        </w:rPr>
        <w:t xml:space="preserve"> Audit</w:t>
      </w:r>
      <w:r w:rsidR="00537E86">
        <w:rPr>
          <w:b/>
        </w:rPr>
        <w:t>or</w:t>
      </w:r>
      <w:r w:rsidR="00C62716" w:rsidRPr="000B5145">
        <w:rPr>
          <w:b/>
        </w:rPr>
        <w:t>s</w:t>
      </w:r>
    </w:p>
    <w:p w:rsidR="002872FE" w:rsidRDefault="002872FE" w:rsidP="00C62716">
      <w:r>
        <w:t xml:space="preserve">Many governmental </w:t>
      </w:r>
      <w:r w:rsidRPr="00C62716">
        <w:t>auditors, who are CPAs,</w:t>
      </w:r>
      <w:r>
        <w:t xml:space="preserve"> currently perform examinations, reviews, and agreed upon procedures, </w:t>
      </w:r>
      <w:r w:rsidRPr="00C62716">
        <w:t>but do not work for a CPA firm</w:t>
      </w:r>
      <w:r>
        <w:t>.  Instead, they work for a government audit organization.  Their engagements are typically performed under AICPA standards alone, or alternatively, under both AICPA standards and Government Auditing Standards (GAGAS). </w:t>
      </w:r>
    </w:p>
    <w:p w:rsidR="002872FE" w:rsidRDefault="002872FE" w:rsidP="00C62716"/>
    <w:p w:rsidR="0022381D" w:rsidRDefault="00C62716" w:rsidP="00C62716">
      <w:r>
        <w:t xml:space="preserve">Nothing in the proposed changes to attest </w:t>
      </w:r>
      <w:r w:rsidR="002872FE">
        <w:t>w</w:t>
      </w:r>
      <w:r>
        <w:t xml:space="preserve">ould impact the provision of government audits performed by </w:t>
      </w:r>
      <w:r w:rsidR="00537E86">
        <w:t xml:space="preserve">federal or </w:t>
      </w:r>
      <w:r>
        <w:t xml:space="preserve">state officials.  </w:t>
      </w:r>
      <w:r w:rsidR="002872FE">
        <w:t>S</w:t>
      </w:r>
      <w:r w:rsidR="00537E86">
        <w:t xml:space="preserve">uch </w:t>
      </w:r>
      <w:r>
        <w:t>public officials are specifically exempted from the</w:t>
      </w:r>
      <w:r w:rsidR="0022381D">
        <w:t xml:space="preserve"> </w:t>
      </w:r>
      <w:r>
        <w:t>attest provisions under</w:t>
      </w:r>
      <w:r w:rsidR="0022381D">
        <w:t xml:space="preserve"> Section 14 </w:t>
      </w:r>
      <w:r w:rsidR="00102ADD">
        <w:t xml:space="preserve">(Unlawful Acts) </w:t>
      </w:r>
      <w:r w:rsidR="0022381D">
        <w:t>of the UAA (see subsections (a) and (h)(2)</w:t>
      </w:r>
      <w:r w:rsidR="00102ADD">
        <w:t>) which generally require attest work to be done by CPAs in licensed CPA firms</w:t>
      </w:r>
      <w:r w:rsidR="0022381D">
        <w:t>.  These exe</w:t>
      </w:r>
      <w:r>
        <w:t xml:space="preserve">mptions have always covered </w:t>
      </w:r>
      <w:r w:rsidR="00102ADD">
        <w:t xml:space="preserve">the </w:t>
      </w:r>
      <w:r w:rsidR="00537E86">
        <w:t>governmental auditor</w:t>
      </w:r>
      <w:r>
        <w:t xml:space="preserve"> community and would continue to do</w:t>
      </w:r>
      <w:r w:rsidR="0022381D">
        <w:t xml:space="preserve"> so in the future.  </w:t>
      </w:r>
    </w:p>
    <w:p w:rsidR="0022381D" w:rsidRDefault="0022381D" w:rsidP="0022381D">
      <w:r>
        <w:t> </w:t>
      </w:r>
    </w:p>
    <w:p w:rsidR="000B5145" w:rsidRPr="00EC144F" w:rsidRDefault="000B5145" w:rsidP="000B5145">
      <w:pPr>
        <w:rPr>
          <w:color w:val="000000"/>
        </w:rPr>
      </w:pPr>
      <w:r w:rsidRPr="00EC144F">
        <w:t>Furthermore, this proposal would not</w:t>
      </w:r>
      <w:r w:rsidRPr="00EC144F">
        <w:rPr>
          <w:color w:val="000000"/>
        </w:rPr>
        <w:t xml:space="preserve"> restrict government</w:t>
      </w:r>
      <w:r w:rsidR="00537E86">
        <w:rPr>
          <w:color w:val="000000"/>
        </w:rPr>
        <w:t>al</w:t>
      </w:r>
      <w:r w:rsidRPr="00EC144F">
        <w:rPr>
          <w:color w:val="000000"/>
        </w:rPr>
        <w:t xml:space="preserve"> auditors </w:t>
      </w:r>
      <w:r w:rsidR="002872FE">
        <w:rPr>
          <w:color w:val="000000"/>
        </w:rPr>
        <w:t xml:space="preserve">(non-CPAs) </w:t>
      </w:r>
      <w:r w:rsidRPr="00EC144F">
        <w:rPr>
          <w:color w:val="000000"/>
        </w:rPr>
        <w:t>from performing GAGAS work.</w:t>
      </w:r>
    </w:p>
    <w:p w:rsidR="0022381D" w:rsidRDefault="0022381D" w:rsidP="0022381D">
      <w:pPr>
        <w:rPr>
          <w:color w:val="000000"/>
          <w:sz w:val="21"/>
          <w:szCs w:val="21"/>
        </w:rPr>
      </w:pPr>
    </w:p>
    <w:p w:rsidR="0022381D" w:rsidRPr="000B5145" w:rsidRDefault="00132D5D">
      <w:pPr>
        <w:pBdr>
          <w:bottom w:val="single" w:sz="12" w:space="1" w:color="auto"/>
        </w:pBdr>
        <w:rPr>
          <w:b/>
        </w:rPr>
      </w:pPr>
      <w:r w:rsidRPr="000B5145">
        <w:rPr>
          <w:b/>
        </w:rPr>
        <w:t>CPA Firm Affiliates</w:t>
      </w:r>
      <w:r w:rsidR="006152CA">
        <w:rPr>
          <w:b/>
        </w:rPr>
        <w:t xml:space="preserve"> </w:t>
      </w:r>
    </w:p>
    <w:p w:rsidR="000B5145" w:rsidRDefault="000B5145">
      <w:r>
        <w:t>Currently, in some parts of the country, the affiliates of some CPA firms</w:t>
      </w:r>
      <w:r w:rsidR="00911D72">
        <w:t>, which are not themselves CPA firms nor necessarily led by CPAs,</w:t>
      </w:r>
      <w:r>
        <w:t xml:space="preserve"> may perform certain SSAE</w:t>
      </w:r>
      <w:r w:rsidR="002872FE">
        <w:t xml:space="preserve"> engagement</w:t>
      </w:r>
      <w:r>
        <w:t>s and i</w:t>
      </w:r>
      <w:r w:rsidR="002C2B36">
        <w:t>ssue related reports, unless already prohibited under state law</w:t>
      </w:r>
      <w:r>
        <w:t xml:space="preserve">.  However, in approximately a quarter of </w:t>
      </w:r>
      <w:r w:rsidR="009912B1">
        <w:t xml:space="preserve">the </w:t>
      </w:r>
      <w:r>
        <w:t>states, the state accountancy stat</w:t>
      </w:r>
      <w:r w:rsidR="00102ADD">
        <w:t>ute already includes a</w:t>
      </w:r>
      <w:r>
        <w:t xml:space="preserve"> definition of attest which limits all of those services and issuances of reports to CPA</w:t>
      </w:r>
      <w:r w:rsidR="002C7F62">
        <w:t>s</w:t>
      </w:r>
      <w:r>
        <w:t xml:space="preserve"> operating within a CPA firm.  </w:t>
      </w:r>
    </w:p>
    <w:p w:rsidR="000B5145" w:rsidRDefault="000B5145"/>
    <w:p w:rsidR="000B5145" w:rsidRDefault="00102ADD">
      <w:r>
        <w:t>Under the proposed revised</w:t>
      </w:r>
      <w:r w:rsidR="000B5145">
        <w:t xml:space="preserve"> definition </w:t>
      </w:r>
      <w:r>
        <w:t>of attest, those affiliates, that</w:t>
      </w:r>
      <w:r w:rsidR="000B5145">
        <w:t xml:space="preserve"> do not meet the definition of a CPA firm, would no longer be able to issue SSAE reports.  These </w:t>
      </w:r>
      <w:r w:rsidR="002C7F62">
        <w:t>types</w:t>
      </w:r>
      <w:r w:rsidR="000B5145">
        <w:t xml:space="preserve"> of engagements could still be performed, in part, by the affiliates, but any final report would have to be issued by a CPA in the CPA firm, itself.  Many </w:t>
      </w:r>
      <w:r w:rsidR="009912B1">
        <w:t xml:space="preserve">CPA </w:t>
      </w:r>
      <w:r w:rsidR="000B5145">
        <w:t>firms</w:t>
      </w:r>
      <w:r w:rsidR="009912B1">
        <w:t xml:space="preserve"> and their affiliates</w:t>
      </w:r>
      <w:r w:rsidR="000B5145">
        <w:t xml:space="preserve"> have already developed strategies to meet this requirement based on where in the United States they are performing these </w:t>
      </w:r>
      <w:r w:rsidR="002C7F62">
        <w:t>types</w:t>
      </w:r>
      <w:r w:rsidR="000B5145">
        <w:t xml:space="preserve"> of SSAEs.  </w:t>
      </w:r>
    </w:p>
    <w:p w:rsidR="000B5145" w:rsidRDefault="000B5145"/>
    <w:p w:rsidR="00EC144F" w:rsidRDefault="000B5145">
      <w:r>
        <w:lastRenderedPageBreak/>
        <w:t xml:space="preserve">If/when enacted into law, CPA firms will need to ensure they are in compliance with the new public protection requirements for the performance of SSAES in </w:t>
      </w:r>
      <w:r w:rsidR="002C7F62">
        <w:t xml:space="preserve">all </w:t>
      </w:r>
      <w:r>
        <w:t>states</w:t>
      </w:r>
      <w:r w:rsidR="002C7F62">
        <w:t xml:space="preserve"> in which they perform SSAE engagements</w:t>
      </w:r>
      <w:r>
        <w:t>.</w:t>
      </w:r>
    </w:p>
    <w:p w:rsidR="003376AF" w:rsidRDefault="003376AF"/>
    <w:p w:rsidR="003376AF" w:rsidRPr="006152CA" w:rsidRDefault="003376AF" w:rsidP="003376AF">
      <w:pPr>
        <w:rPr>
          <w:color w:val="1F497D"/>
        </w:rPr>
      </w:pPr>
      <w:r>
        <w:rPr>
          <w:color w:val="000000"/>
        </w:rPr>
        <w:t xml:space="preserve">“For firms that are part of a network, all </w:t>
      </w:r>
      <w:r>
        <w:rPr>
          <w:rStyle w:val="Emphasis"/>
          <w:color w:val="000000"/>
        </w:rPr>
        <w:t>network firms</w:t>
      </w:r>
      <w:r>
        <w:rPr>
          <w:color w:val="000000"/>
        </w:rPr>
        <w:t xml:space="preserve"> [defined in </w:t>
      </w:r>
      <w:hyperlink r:id="rId8" w:anchor="et_92.24" w:history="1">
        <w:r>
          <w:rPr>
            <w:rStyle w:val="Hyperlink"/>
          </w:rPr>
          <w:t>ET section 92.24</w:t>
        </w:r>
      </w:hyperlink>
      <w:r>
        <w:rPr>
          <w:color w:val="000000"/>
        </w:rPr>
        <w:t xml:space="preserve"> of the Code] are required to be independent of clients for which the firm performs a financial statement audit or </w:t>
      </w:r>
      <w:r w:rsidRPr="002C2B36">
        <w:t xml:space="preserve">review </w:t>
      </w:r>
      <w:r w:rsidRPr="002C2B36">
        <w:rPr>
          <w:bCs/>
          <w:iCs/>
        </w:rPr>
        <w:t xml:space="preserve">attest </w:t>
      </w:r>
      <w:r w:rsidRPr="002C2B36">
        <w:t>engagement</w:t>
      </w:r>
      <w:r w:rsidRPr="002C2B36">
        <w:rPr>
          <w:bCs/>
          <w:iCs/>
        </w:rPr>
        <w:t>s</w:t>
      </w:r>
      <w:r w:rsidRPr="002C2B36">
        <w:t xml:space="preserve">.  </w:t>
      </w:r>
      <w:r>
        <w:rPr>
          <w:color w:val="000000"/>
        </w:rPr>
        <w:t>For all other attest engagements, including SSAE engagements, consideration should be given to any threats the firm knows or has reason to believe may be created by network firm interests and relationships. If those threats are not at an acceptable level, safeguards should be applied to eliminate the threats or reduce them to an acceptable level.”</w:t>
      </w:r>
    </w:p>
    <w:p w:rsidR="003376AF" w:rsidRDefault="003376AF"/>
    <w:p w:rsidR="00EC144F" w:rsidRDefault="00EC144F"/>
    <w:p w:rsidR="000B5145" w:rsidRDefault="00EC144F">
      <w:r w:rsidRPr="00EC144F">
        <w:rPr>
          <w:b/>
        </w:rPr>
        <w:t>FOR MORE INFORMATION:</w:t>
      </w:r>
      <w:r>
        <w:t xml:space="preserve"> Please contact Mat Young, </w:t>
      </w:r>
      <w:r w:rsidR="003376AF">
        <w:t xml:space="preserve">AICPA </w:t>
      </w:r>
      <w:r>
        <w:t xml:space="preserve">Vice President for State Regulatory and Legislative Affairs, </w:t>
      </w:r>
      <w:hyperlink r:id="rId9" w:history="1">
        <w:r w:rsidRPr="006669A0">
          <w:rPr>
            <w:rStyle w:val="Hyperlink"/>
          </w:rPr>
          <w:t>myoung@aicpa.org</w:t>
        </w:r>
      </w:hyperlink>
      <w:r>
        <w:t>, (202) 434-9273</w:t>
      </w:r>
      <w:r w:rsidR="002C2B36">
        <w:t>.</w:t>
      </w:r>
      <w:r w:rsidR="000B5145">
        <w:t xml:space="preserve">  </w:t>
      </w:r>
    </w:p>
    <w:p w:rsidR="006152CA" w:rsidRDefault="006152CA"/>
    <w:p w:rsidR="003B2985" w:rsidRDefault="004528B3" w:rsidP="004528B3">
      <w:pPr>
        <w:jc w:val="right"/>
      </w:pPr>
      <w:r>
        <w:br/>
        <w:t>Updated: May 2014</w:t>
      </w:r>
      <w:bookmarkStart w:id="0" w:name="_GoBack"/>
      <w:bookmarkEnd w:id="0"/>
    </w:p>
    <w:sectPr w:rsidR="003B2985" w:rsidSect="00DA417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D7" w:rsidRDefault="002037D7" w:rsidP="00DA417A">
      <w:r>
        <w:separator/>
      </w:r>
    </w:p>
  </w:endnote>
  <w:endnote w:type="continuationSeparator" w:id="0">
    <w:p w:rsidR="002037D7" w:rsidRDefault="002037D7" w:rsidP="00D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94791"/>
      <w:docPartObj>
        <w:docPartGallery w:val="Page Numbers (Bottom of Page)"/>
        <w:docPartUnique/>
      </w:docPartObj>
    </w:sdtPr>
    <w:sdtEndPr>
      <w:rPr>
        <w:noProof/>
      </w:rPr>
    </w:sdtEndPr>
    <w:sdtContent>
      <w:p w:rsidR="002872FE" w:rsidRDefault="002872FE">
        <w:pPr>
          <w:pStyle w:val="Footer"/>
          <w:jc w:val="center"/>
        </w:pPr>
        <w:r>
          <w:fldChar w:fldCharType="begin"/>
        </w:r>
        <w:r>
          <w:instrText xml:space="preserve"> PAGE   \* MERGEFORMAT </w:instrText>
        </w:r>
        <w:r>
          <w:fldChar w:fldCharType="separate"/>
        </w:r>
        <w:r w:rsidR="00D5781C">
          <w:rPr>
            <w:noProof/>
          </w:rPr>
          <w:t>3</w:t>
        </w:r>
        <w:r>
          <w:rPr>
            <w:noProof/>
          </w:rPr>
          <w:fldChar w:fldCharType="end"/>
        </w:r>
      </w:p>
    </w:sdtContent>
  </w:sdt>
  <w:p w:rsidR="002872FE" w:rsidRDefault="0028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D7" w:rsidRDefault="002037D7" w:rsidP="00DA417A">
      <w:r>
        <w:separator/>
      </w:r>
    </w:p>
  </w:footnote>
  <w:footnote w:type="continuationSeparator" w:id="0">
    <w:p w:rsidR="002037D7" w:rsidRDefault="002037D7" w:rsidP="00DA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8DD"/>
    <w:multiLevelType w:val="hybridMultilevel"/>
    <w:tmpl w:val="2468F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0B93"/>
    <w:multiLevelType w:val="hybridMultilevel"/>
    <w:tmpl w:val="8F42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B22C4"/>
    <w:multiLevelType w:val="hybridMultilevel"/>
    <w:tmpl w:val="3D4600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22D9B"/>
    <w:multiLevelType w:val="hybridMultilevel"/>
    <w:tmpl w:val="814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E9"/>
    <w:rsid w:val="000356AF"/>
    <w:rsid w:val="000B5145"/>
    <w:rsid w:val="00102ADD"/>
    <w:rsid w:val="00132D5D"/>
    <w:rsid w:val="001954D0"/>
    <w:rsid w:val="001C524A"/>
    <w:rsid w:val="002037D7"/>
    <w:rsid w:val="0022381D"/>
    <w:rsid w:val="00233547"/>
    <w:rsid w:val="00282379"/>
    <w:rsid w:val="002872FE"/>
    <w:rsid w:val="002C2B36"/>
    <w:rsid w:val="002C7F62"/>
    <w:rsid w:val="003376AF"/>
    <w:rsid w:val="003B2985"/>
    <w:rsid w:val="003C0E74"/>
    <w:rsid w:val="003E60A9"/>
    <w:rsid w:val="003E68C5"/>
    <w:rsid w:val="004528B3"/>
    <w:rsid w:val="00476963"/>
    <w:rsid w:val="004861FF"/>
    <w:rsid w:val="004C0791"/>
    <w:rsid w:val="00537E86"/>
    <w:rsid w:val="00544542"/>
    <w:rsid w:val="00585C59"/>
    <w:rsid w:val="00595F27"/>
    <w:rsid w:val="006152CA"/>
    <w:rsid w:val="007A662B"/>
    <w:rsid w:val="00856716"/>
    <w:rsid w:val="008A349A"/>
    <w:rsid w:val="008E5654"/>
    <w:rsid w:val="008F48A6"/>
    <w:rsid w:val="008F49D9"/>
    <w:rsid w:val="00911D72"/>
    <w:rsid w:val="00923041"/>
    <w:rsid w:val="00961FE5"/>
    <w:rsid w:val="00972C6E"/>
    <w:rsid w:val="009912B1"/>
    <w:rsid w:val="009C59CD"/>
    <w:rsid w:val="00A132DA"/>
    <w:rsid w:val="00A3498A"/>
    <w:rsid w:val="00B65A00"/>
    <w:rsid w:val="00C62716"/>
    <w:rsid w:val="00D20BE9"/>
    <w:rsid w:val="00D5781C"/>
    <w:rsid w:val="00DA417A"/>
    <w:rsid w:val="00DA42C0"/>
    <w:rsid w:val="00E6554C"/>
    <w:rsid w:val="00EC144F"/>
    <w:rsid w:val="00EC3CC4"/>
    <w:rsid w:val="00EF6C21"/>
    <w:rsid w:val="00FD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379"/>
    <w:rPr>
      <w:b/>
      <w:bCs/>
    </w:rPr>
  </w:style>
  <w:style w:type="paragraph" w:styleId="Header">
    <w:name w:val="header"/>
    <w:basedOn w:val="Normal"/>
    <w:link w:val="HeaderChar"/>
    <w:uiPriority w:val="99"/>
    <w:unhideWhenUsed/>
    <w:rsid w:val="00DA417A"/>
    <w:pPr>
      <w:tabs>
        <w:tab w:val="center" w:pos="4680"/>
        <w:tab w:val="right" w:pos="9360"/>
      </w:tabs>
    </w:pPr>
  </w:style>
  <w:style w:type="character" w:customStyle="1" w:styleId="HeaderChar">
    <w:name w:val="Header Char"/>
    <w:basedOn w:val="DefaultParagraphFont"/>
    <w:link w:val="Header"/>
    <w:uiPriority w:val="99"/>
    <w:rsid w:val="00DA417A"/>
    <w:rPr>
      <w:rFonts w:ascii="Times New Roman" w:hAnsi="Times New Roman" w:cs="Times New Roman"/>
      <w:sz w:val="24"/>
      <w:szCs w:val="24"/>
    </w:rPr>
  </w:style>
  <w:style w:type="paragraph" w:styleId="Footer">
    <w:name w:val="footer"/>
    <w:basedOn w:val="Normal"/>
    <w:link w:val="FooterChar"/>
    <w:uiPriority w:val="99"/>
    <w:unhideWhenUsed/>
    <w:rsid w:val="00DA417A"/>
    <w:pPr>
      <w:tabs>
        <w:tab w:val="center" w:pos="4680"/>
        <w:tab w:val="right" w:pos="9360"/>
      </w:tabs>
    </w:pPr>
  </w:style>
  <w:style w:type="character" w:customStyle="1" w:styleId="FooterChar">
    <w:name w:val="Footer Char"/>
    <w:basedOn w:val="DefaultParagraphFont"/>
    <w:link w:val="Footer"/>
    <w:uiPriority w:val="99"/>
    <w:rsid w:val="00DA417A"/>
    <w:rPr>
      <w:rFonts w:ascii="Times New Roman" w:hAnsi="Times New Roman" w:cs="Times New Roman"/>
      <w:sz w:val="24"/>
      <w:szCs w:val="24"/>
    </w:rPr>
  </w:style>
  <w:style w:type="character" w:styleId="Hyperlink">
    <w:name w:val="Hyperlink"/>
    <w:basedOn w:val="DefaultParagraphFont"/>
    <w:uiPriority w:val="99"/>
    <w:unhideWhenUsed/>
    <w:rsid w:val="00EC144F"/>
    <w:rPr>
      <w:color w:val="0000FF" w:themeColor="hyperlink"/>
      <w:u w:val="single"/>
    </w:rPr>
  </w:style>
  <w:style w:type="character" w:styleId="CommentReference">
    <w:name w:val="annotation reference"/>
    <w:basedOn w:val="DefaultParagraphFont"/>
    <w:uiPriority w:val="99"/>
    <w:semiHidden/>
    <w:unhideWhenUsed/>
    <w:rsid w:val="008F48A6"/>
    <w:rPr>
      <w:sz w:val="16"/>
      <w:szCs w:val="16"/>
    </w:rPr>
  </w:style>
  <w:style w:type="paragraph" w:styleId="CommentText">
    <w:name w:val="annotation text"/>
    <w:basedOn w:val="Normal"/>
    <w:link w:val="CommentTextChar"/>
    <w:uiPriority w:val="99"/>
    <w:semiHidden/>
    <w:unhideWhenUsed/>
    <w:rsid w:val="008F48A6"/>
    <w:rPr>
      <w:sz w:val="20"/>
      <w:szCs w:val="20"/>
    </w:rPr>
  </w:style>
  <w:style w:type="character" w:customStyle="1" w:styleId="CommentTextChar">
    <w:name w:val="Comment Text Char"/>
    <w:basedOn w:val="DefaultParagraphFont"/>
    <w:link w:val="CommentText"/>
    <w:uiPriority w:val="99"/>
    <w:semiHidden/>
    <w:rsid w:val="008F48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8A6"/>
    <w:rPr>
      <w:b/>
      <w:bCs/>
    </w:rPr>
  </w:style>
  <w:style w:type="character" w:customStyle="1" w:styleId="CommentSubjectChar">
    <w:name w:val="Comment Subject Char"/>
    <w:basedOn w:val="CommentTextChar"/>
    <w:link w:val="CommentSubject"/>
    <w:uiPriority w:val="99"/>
    <w:semiHidden/>
    <w:rsid w:val="008F48A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F48A6"/>
    <w:rPr>
      <w:rFonts w:ascii="Tahoma" w:hAnsi="Tahoma" w:cs="Tahoma"/>
      <w:sz w:val="16"/>
      <w:szCs w:val="16"/>
    </w:rPr>
  </w:style>
  <w:style w:type="character" w:customStyle="1" w:styleId="BalloonTextChar">
    <w:name w:val="Balloon Text Char"/>
    <w:basedOn w:val="DefaultParagraphFont"/>
    <w:link w:val="BalloonText"/>
    <w:uiPriority w:val="99"/>
    <w:semiHidden/>
    <w:rsid w:val="008F48A6"/>
    <w:rPr>
      <w:rFonts w:ascii="Tahoma" w:hAnsi="Tahoma" w:cs="Tahoma"/>
      <w:sz w:val="16"/>
      <w:szCs w:val="16"/>
    </w:rPr>
  </w:style>
  <w:style w:type="character" w:styleId="Emphasis">
    <w:name w:val="Emphasis"/>
    <w:basedOn w:val="DefaultParagraphFont"/>
    <w:uiPriority w:val="20"/>
    <w:qFormat/>
    <w:rsid w:val="006152CA"/>
    <w:rPr>
      <w:i/>
      <w:iCs/>
    </w:rPr>
  </w:style>
  <w:style w:type="paragraph" w:styleId="ListParagraph">
    <w:name w:val="List Paragraph"/>
    <w:basedOn w:val="Normal"/>
    <w:uiPriority w:val="34"/>
    <w:qFormat/>
    <w:rsid w:val="00EC3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379"/>
    <w:rPr>
      <w:b/>
      <w:bCs/>
    </w:rPr>
  </w:style>
  <w:style w:type="paragraph" w:styleId="Header">
    <w:name w:val="header"/>
    <w:basedOn w:val="Normal"/>
    <w:link w:val="HeaderChar"/>
    <w:uiPriority w:val="99"/>
    <w:unhideWhenUsed/>
    <w:rsid w:val="00DA417A"/>
    <w:pPr>
      <w:tabs>
        <w:tab w:val="center" w:pos="4680"/>
        <w:tab w:val="right" w:pos="9360"/>
      </w:tabs>
    </w:pPr>
  </w:style>
  <w:style w:type="character" w:customStyle="1" w:styleId="HeaderChar">
    <w:name w:val="Header Char"/>
    <w:basedOn w:val="DefaultParagraphFont"/>
    <w:link w:val="Header"/>
    <w:uiPriority w:val="99"/>
    <w:rsid w:val="00DA417A"/>
    <w:rPr>
      <w:rFonts w:ascii="Times New Roman" w:hAnsi="Times New Roman" w:cs="Times New Roman"/>
      <w:sz w:val="24"/>
      <w:szCs w:val="24"/>
    </w:rPr>
  </w:style>
  <w:style w:type="paragraph" w:styleId="Footer">
    <w:name w:val="footer"/>
    <w:basedOn w:val="Normal"/>
    <w:link w:val="FooterChar"/>
    <w:uiPriority w:val="99"/>
    <w:unhideWhenUsed/>
    <w:rsid w:val="00DA417A"/>
    <w:pPr>
      <w:tabs>
        <w:tab w:val="center" w:pos="4680"/>
        <w:tab w:val="right" w:pos="9360"/>
      </w:tabs>
    </w:pPr>
  </w:style>
  <w:style w:type="character" w:customStyle="1" w:styleId="FooterChar">
    <w:name w:val="Footer Char"/>
    <w:basedOn w:val="DefaultParagraphFont"/>
    <w:link w:val="Footer"/>
    <w:uiPriority w:val="99"/>
    <w:rsid w:val="00DA417A"/>
    <w:rPr>
      <w:rFonts w:ascii="Times New Roman" w:hAnsi="Times New Roman" w:cs="Times New Roman"/>
      <w:sz w:val="24"/>
      <w:szCs w:val="24"/>
    </w:rPr>
  </w:style>
  <w:style w:type="character" w:styleId="Hyperlink">
    <w:name w:val="Hyperlink"/>
    <w:basedOn w:val="DefaultParagraphFont"/>
    <w:uiPriority w:val="99"/>
    <w:unhideWhenUsed/>
    <w:rsid w:val="00EC144F"/>
    <w:rPr>
      <w:color w:val="0000FF" w:themeColor="hyperlink"/>
      <w:u w:val="single"/>
    </w:rPr>
  </w:style>
  <w:style w:type="character" w:styleId="CommentReference">
    <w:name w:val="annotation reference"/>
    <w:basedOn w:val="DefaultParagraphFont"/>
    <w:uiPriority w:val="99"/>
    <w:semiHidden/>
    <w:unhideWhenUsed/>
    <w:rsid w:val="008F48A6"/>
    <w:rPr>
      <w:sz w:val="16"/>
      <w:szCs w:val="16"/>
    </w:rPr>
  </w:style>
  <w:style w:type="paragraph" w:styleId="CommentText">
    <w:name w:val="annotation text"/>
    <w:basedOn w:val="Normal"/>
    <w:link w:val="CommentTextChar"/>
    <w:uiPriority w:val="99"/>
    <w:semiHidden/>
    <w:unhideWhenUsed/>
    <w:rsid w:val="008F48A6"/>
    <w:rPr>
      <w:sz w:val="20"/>
      <w:szCs w:val="20"/>
    </w:rPr>
  </w:style>
  <w:style w:type="character" w:customStyle="1" w:styleId="CommentTextChar">
    <w:name w:val="Comment Text Char"/>
    <w:basedOn w:val="DefaultParagraphFont"/>
    <w:link w:val="CommentText"/>
    <w:uiPriority w:val="99"/>
    <w:semiHidden/>
    <w:rsid w:val="008F48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8A6"/>
    <w:rPr>
      <w:b/>
      <w:bCs/>
    </w:rPr>
  </w:style>
  <w:style w:type="character" w:customStyle="1" w:styleId="CommentSubjectChar">
    <w:name w:val="Comment Subject Char"/>
    <w:basedOn w:val="CommentTextChar"/>
    <w:link w:val="CommentSubject"/>
    <w:uiPriority w:val="99"/>
    <w:semiHidden/>
    <w:rsid w:val="008F48A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F48A6"/>
    <w:rPr>
      <w:rFonts w:ascii="Tahoma" w:hAnsi="Tahoma" w:cs="Tahoma"/>
      <w:sz w:val="16"/>
      <w:szCs w:val="16"/>
    </w:rPr>
  </w:style>
  <w:style w:type="character" w:customStyle="1" w:styleId="BalloonTextChar">
    <w:name w:val="Balloon Text Char"/>
    <w:basedOn w:val="DefaultParagraphFont"/>
    <w:link w:val="BalloonText"/>
    <w:uiPriority w:val="99"/>
    <w:semiHidden/>
    <w:rsid w:val="008F48A6"/>
    <w:rPr>
      <w:rFonts w:ascii="Tahoma" w:hAnsi="Tahoma" w:cs="Tahoma"/>
      <w:sz w:val="16"/>
      <w:szCs w:val="16"/>
    </w:rPr>
  </w:style>
  <w:style w:type="character" w:styleId="Emphasis">
    <w:name w:val="Emphasis"/>
    <w:basedOn w:val="DefaultParagraphFont"/>
    <w:uiPriority w:val="20"/>
    <w:qFormat/>
    <w:rsid w:val="006152CA"/>
    <w:rPr>
      <w:i/>
      <w:iCs/>
    </w:rPr>
  </w:style>
  <w:style w:type="paragraph" w:styleId="ListParagraph">
    <w:name w:val="List Paragraph"/>
    <w:basedOn w:val="Normal"/>
    <w:uiPriority w:val="34"/>
    <w:qFormat/>
    <w:rsid w:val="00EC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025">
      <w:bodyDiv w:val="1"/>
      <w:marLeft w:val="0"/>
      <w:marRight w:val="0"/>
      <w:marTop w:val="0"/>
      <w:marBottom w:val="0"/>
      <w:divBdr>
        <w:top w:val="none" w:sz="0" w:space="0" w:color="auto"/>
        <w:left w:val="none" w:sz="0" w:space="0" w:color="auto"/>
        <w:bottom w:val="none" w:sz="0" w:space="0" w:color="auto"/>
        <w:right w:val="none" w:sz="0" w:space="0" w:color="auto"/>
      </w:divBdr>
    </w:div>
    <w:div w:id="180779601">
      <w:bodyDiv w:val="1"/>
      <w:marLeft w:val="0"/>
      <w:marRight w:val="0"/>
      <w:marTop w:val="0"/>
      <w:marBottom w:val="0"/>
      <w:divBdr>
        <w:top w:val="none" w:sz="0" w:space="0" w:color="auto"/>
        <w:left w:val="none" w:sz="0" w:space="0" w:color="auto"/>
        <w:bottom w:val="none" w:sz="0" w:space="0" w:color="auto"/>
        <w:right w:val="none" w:sz="0" w:space="0" w:color="auto"/>
      </w:divBdr>
    </w:div>
    <w:div w:id="265237119">
      <w:bodyDiv w:val="1"/>
      <w:marLeft w:val="0"/>
      <w:marRight w:val="0"/>
      <w:marTop w:val="0"/>
      <w:marBottom w:val="0"/>
      <w:divBdr>
        <w:top w:val="none" w:sz="0" w:space="0" w:color="auto"/>
        <w:left w:val="none" w:sz="0" w:space="0" w:color="auto"/>
        <w:bottom w:val="none" w:sz="0" w:space="0" w:color="auto"/>
        <w:right w:val="none" w:sz="0" w:space="0" w:color="auto"/>
      </w:divBdr>
    </w:div>
    <w:div w:id="416874500">
      <w:bodyDiv w:val="1"/>
      <w:marLeft w:val="0"/>
      <w:marRight w:val="0"/>
      <w:marTop w:val="0"/>
      <w:marBottom w:val="0"/>
      <w:divBdr>
        <w:top w:val="none" w:sz="0" w:space="0" w:color="auto"/>
        <w:left w:val="none" w:sz="0" w:space="0" w:color="auto"/>
        <w:bottom w:val="none" w:sz="0" w:space="0" w:color="auto"/>
        <w:right w:val="none" w:sz="0" w:space="0" w:color="auto"/>
      </w:divBdr>
    </w:div>
    <w:div w:id="476382047">
      <w:bodyDiv w:val="1"/>
      <w:marLeft w:val="0"/>
      <w:marRight w:val="0"/>
      <w:marTop w:val="0"/>
      <w:marBottom w:val="0"/>
      <w:divBdr>
        <w:top w:val="none" w:sz="0" w:space="0" w:color="auto"/>
        <w:left w:val="none" w:sz="0" w:space="0" w:color="auto"/>
        <w:bottom w:val="none" w:sz="0" w:space="0" w:color="auto"/>
        <w:right w:val="none" w:sz="0" w:space="0" w:color="auto"/>
      </w:divBdr>
    </w:div>
    <w:div w:id="542449784">
      <w:bodyDiv w:val="1"/>
      <w:marLeft w:val="0"/>
      <w:marRight w:val="0"/>
      <w:marTop w:val="0"/>
      <w:marBottom w:val="0"/>
      <w:divBdr>
        <w:top w:val="none" w:sz="0" w:space="0" w:color="auto"/>
        <w:left w:val="none" w:sz="0" w:space="0" w:color="auto"/>
        <w:bottom w:val="none" w:sz="0" w:space="0" w:color="auto"/>
        <w:right w:val="none" w:sz="0" w:space="0" w:color="auto"/>
      </w:divBdr>
    </w:div>
    <w:div w:id="700276934">
      <w:bodyDiv w:val="1"/>
      <w:marLeft w:val="0"/>
      <w:marRight w:val="0"/>
      <w:marTop w:val="0"/>
      <w:marBottom w:val="0"/>
      <w:divBdr>
        <w:top w:val="none" w:sz="0" w:space="0" w:color="auto"/>
        <w:left w:val="none" w:sz="0" w:space="0" w:color="auto"/>
        <w:bottom w:val="none" w:sz="0" w:space="0" w:color="auto"/>
        <w:right w:val="none" w:sz="0" w:space="0" w:color="auto"/>
      </w:divBdr>
    </w:div>
    <w:div w:id="747072908">
      <w:bodyDiv w:val="1"/>
      <w:marLeft w:val="0"/>
      <w:marRight w:val="0"/>
      <w:marTop w:val="0"/>
      <w:marBottom w:val="0"/>
      <w:divBdr>
        <w:top w:val="none" w:sz="0" w:space="0" w:color="auto"/>
        <w:left w:val="none" w:sz="0" w:space="0" w:color="auto"/>
        <w:bottom w:val="none" w:sz="0" w:space="0" w:color="auto"/>
        <w:right w:val="none" w:sz="0" w:space="0" w:color="auto"/>
      </w:divBdr>
    </w:div>
    <w:div w:id="867763109">
      <w:bodyDiv w:val="1"/>
      <w:marLeft w:val="0"/>
      <w:marRight w:val="0"/>
      <w:marTop w:val="0"/>
      <w:marBottom w:val="0"/>
      <w:divBdr>
        <w:top w:val="none" w:sz="0" w:space="0" w:color="auto"/>
        <w:left w:val="none" w:sz="0" w:space="0" w:color="auto"/>
        <w:bottom w:val="none" w:sz="0" w:space="0" w:color="auto"/>
        <w:right w:val="none" w:sz="0" w:space="0" w:color="auto"/>
      </w:divBdr>
    </w:div>
    <w:div w:id="883103973">
      <w:bodyDiv w:val="1"/>
      <w:marLeft w:val="0"/>
      <w:marRight w:val="0"/>
      <w:marTop w:val="0"/>
      <w:marBottom w:val="0"/>
      <w:divBdr>
        <w:top w:val="none" w:sz="0" w:space="0" w:color="auto"/>
        <w:left w:val="none" w:sz="0" w:space="0" w:color="auto"/>
        <w:bottom w:val="none" w:sz="0" w:space="0" w:color="auto"/>
        <w:right w:val="none" w:sz="0" w:space="0" w:color="auto"/>
      </w:divBdr>
    </w:div>
    <w:div w:id="957031211">
      <w:bodyDiv w:val="1"/>
      <w:marLeft w:val="0"/>
      <w:marRight w:val="0"/>
      <w:marTop w:val="0"/>
      <w:marBottom w:val="0"/>
      <w:divBdr>
        <w:top w:val="none" w:sz="0" w:space="0" w:color="auto"/>
        <w:left w:val="none" w:sz="0" w:space="0" w:color="auto"/>
        <w:bottom w:val="none" w:sz="0" w:space="0" w:color="auto"/>
        <w:right w:val="none" w:sz="0" w:space="0" w:color="auto"/>
      </w:divBdr>
    </w:div>
    <w:div w:id="968126012">
      <w:bodyDiv w:val="1"/>
      <w:marLeft w:val="0"/>
      <w:marRight w:val="0"/>
      <w:marTop w:val="0"/>
      <w:marBottom w:val="0"/>
      <w:divBdr>
        <w:top w:val="none" w:sz="0" w:space="0" w:color="auto"/>
        <w:left w:val="none" w:sz="0" w:space="0" w:color="auto"/>
        <w:bottom w:val="none" w:sz="0" w:space="0" w:color="auto"/>
        <w:right w:val="none" w:sz="0" w:space="0" w:color="auto"/>
      </w:divBdr>
    </w:div>
    <w:div w:id="1069839256">
      <w:bodyDiv w:val="1"/>
      <w:marLeft w:val="0"/>
      <w:marRight w:val="0"/>
      <w:marTop w:val="0"/>
      <w:marBottom w:val="0"/>
      <w:divBdr>
        <w:top w:val="none" w:sz="0" w:space="0" w:color="auto"/>
        <w:left w:val="none" w:sz="0" w:space="0" w:color="auto"/>
        <w:bottom w:val="none" w:sz="0" w:space="0" w:color="auto"/>
        <w:right w:val="none" w:sz="0" w:space="0" w:color="auto"/>
      </w:divBdr>
    </w:div>
    <w:div w:id="1292589430">
      <w:bodyDiv w:val="1"/>
      <w:marLeft w:val="0"/>
      <w:marRight w:val="0"/>
      <w:marTop w:val="0"/>
      <w:marBottom w:val="0"/>
      <w:divBdr>
        <w:top w:val="none" w:sz="0" w:space="0" w:color="auto"/>
        <w:left w:val="none" w:sz="0" w:space="0" w:color="auto"/>
        <w:bottom w:val="none" w:sz="0" w:space="0" w:color="auto"/>
        <w:right w:val="none" w:sz="0" w:space="0" w:color="auto"/>
      </w:divBdr>
    </w:div>
    <w:div w:id="1343244464">
      <w:bodyDiv w:val="1"/>
      <w:marLeft w:val="0"/>
      <w:marRight w:val="0"/>
      <w:marTop w:val="0"/>
      <w:marBottom w:val="0"/>
      <w:divBdr>
        <w:top w:val="none" w:sz="0" w:space="0" w:color="auto"/>
        <w:left w:val="none" w:sz="0" w:space="0" w:color="auto"/>
        <w:bottom w:val="none" w:sz="0" w:space="0" w:color="auto"/>
        <w:right w:val="none" w:sz="0" w:space="0" w:color="auto"/>
      </w:divBdr>
    </w:div>
    <w:div w:id="1344867622">
      <w:bodyDiv w:val="1"/>
      <w:marLeft w:val="0"/>
      <w:marRight w:val="0"/>
      <w:marTop w:val="0"/>
      <w:marBottom w:val="0"/>
      <w:divBdr>
        <w:top w:val="none" w:sz="0" w:space="0" w:color="auto"/>
        <w:left w:val="none" w:sz="0" w:space="0" w:color="auto"/>
        <w:bottom w:val="none" w:sz="0" w:space="0" w:color="auto"/>
        <w:right w:val="none" w:sz="0" w:space="0" w:color="auto"/>
      </w:divBdr>
    </w:div>
    <w:div w:id="1348482498">
      <w:bodyDiv w:val="1"/>
      <w:marLeft w:val="0"/>
      <w:marRight w:val="0"/>
      <w:marTop w:val="0"/>
      <w:marBottom w:val="0"/>
      <w:divBdr>
        <w:top w:val="none" w:sz="0" w:space="0" w:color="auto"/>
        <w:left w:val="none" w:sz="0" w:space="0" w:color="auto"/>
        <w:bottom w:val="none" w:sz="0" w:space="0" w:color="auto"/>
        <w:right w:val="none" w:sz="0" w:space="0" w:color="auto"/>
      </w:divBdr>
    </w:div>
    <w:div w:id="1442845333">
      <w:bodyDiv w:val="1"/>
      <w:marLeft w:val="0"/>
      <w:marRight w:val="0"/>
      <w:marTop w:val="0"/>
      <w:marBottom w:val="0"/>
      <w:divBdr>
        <w:top w:val="none" w:sz="0" w:space="0" w:color="auto"/>
        <w:left w:val="none" w:sz="0" w:space="0" w:color="auto"/>
        <w:bottom w:val="none" w:sz="0" w:space="0" w:color="auto"/>
        <w:right w:val="none" w:sz="0" w:space="0" w:color="auto"/>
      </w:divBdr>
    </w:div>
    <w:div w:id="1629504336">
      <w:bodyDiv w:val="1"/>
      <w:marLeft w:val="0"/>
      <w:marRight w:val="0"/>
      <w:marTop w:val="0"/>
      <w:marBottom w:val="0"/>
      <w:divBdr>
        <w:top w:val="none" w:sz="0" w:space="0" w:color="auto"/>
        <w:left w:val="none" w:sz="0" w:space="0" w:color="auto"/>
        <w:bottom w:val="none" w:sz="0" w:space="0" w:color="auto"/>
        <w:right w:val="none" w:sz="0" w:space="0" w:color="auto"/>
      </w:divBdr>
    </w:div>
    <w:div w:id="2020085779">
      <w:bodyDiv w:val="1"/>
      <w:marLeft w:val="0"/>
      <w:marRight w:val="0"/>
      <w:marTop w:val="0"/>
      <w:marBottom w:val="0"/>
      <w:divBdr>
        <w:top w:val="none" w:sz="0" w:space="0" w:color="auto"/>
        <w:left w:val="none" w:sz="0" w:space="0" w:color="auto"/>
        <w:bottom w:val="none" w:sz="0" w:space="0" w:color="auto"/>
        <w:right w:val="none" w:sz="0" w:space="0" w:color="auto"/>
      </w:divBdr>
    </w:div>
    <w:div w:id="20958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Research/Standards/CodeofConduct/Pages/et_92.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young@aicp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D5921-D7FC-44DB-9A69-6D4EB75DD849}"/>
</file>

<file path=customXml/itemProps2.xml><?xml version="1.0" encoding="utf-8"?>
<ds:datastoreItem xmlns:ds="http://schemas.openxmlformats.org/officeDocument/2006/customXml" ds:itemID="{9761B322-34FF-4D6D-9F36-55C81E237534}"/>
</file>

<file path=customXml/itemProps3.xml><?xml version="1.0" encoding="utf-8"?>
<ds:datastoreItem xmlns:ds="http://schemas.openxmlformats.org/officeDocument/2006/customXml" ds:itemID="{BFEC1875-0B8E-458E-B64B-096B2BA8F8AA}"/>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UAA Attest Language Common Inquiries </dc:title>
  <dc:creator>Daniel Bond</dc:creator>
  <cp:lastModifiedBy>AICPA</cp:lastModifiedBy>
  <cp:revision>5</cp:revision>
  <cp:lastPrinted>2014-05-19T21:17:00Z</cp:lastPrinted>
  <dcterms:created xsi:type="dcterms:W3CDTF">2014-05-19T21:16:00Z</dcterms:created>
  <dcterms:modified xsi:type="dcterms:W3CDTF">2014-05-19T21:17:00Z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