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B8" w:rsidRPr="00393C83" w:rsidRDefault="009555B8" w:rsidP="00CE30E0">
      <w:pPr>
        <w:jc w:val="center"/>
        <w:rPr>
          <w:rFonts w:cs="Times New Roman"/>
          <w:b/>
          <w:szCs w:val="24"/>
          <w:u w:val="single"/>
        </w:rPr>
      </w:pPr>
      <w:r w:rsidRPr="00393C83">
        <w:rPr>
          <w:rFonts w:cs="Times New Roman"/>
          <w:b/>
          <w:szCs w:val="24"/>
          <w:u w:val="single"/>
        </w:rPr>
        <w:t>Definition of</w:t>
      </w:r>
      <w:bookmarkStart w:id="0" w:name="_GoBack"/>
      <w:bookmarkEnd w:id="0"/>
      <w:r w:rsidRPr="00393C83">
        <w:rPr>
          <w:rFonts w:cs="Times New Roman"/>
          <w:b/>
          <w:szCs w:val="24"/>
          <w:u w:val="single"/>
        </w:rPr>
        <w:t xml:space="preserve"> Attest Frequently Asked Questions</w:t>
      </w:r>
    </w:p>
    <w:p w:rsidR="009255E6" w:rsidRPr="00393C83" w:rsidRDefault="000F0E49" w:rsidP="00CE30E0">
      <w:pPr>
        <w:pStyle w:val="Default"/>
        <w:spacing w:line="276" w:lineRule="auto"/>
        <w:rPr>
          <w:rFonts w:asciiTheme="minorHAnsi" w:hAnsiTheme="minorHAnsi" w:cs="Times New Roman"/>
          <w:b/>
          <w:sz w:val="22"/>
        </w:rPr>
      </w:pPr>
      <w:r w:rsidRPr="00393C83">
        <w:rPr>
          <w:rFonts w:asciiTheme="minorHAnsi" w:hAnsiTheme="minorHAnsi" w:cs="Times New Roman"/>
          <w:sz w:val="22"/>
        </w:rPr>
        <w:t xml:space="preserve">Below are </w:t>
      </w:r>
      <w:r w:rsidR="00D52300" w:rsidRPr="00393C83">
        <w:rPr>
          <w:rFonts w:asciiTheme="minorHAnsi" w:hAnsiTheme="minorHAnsi" w:cs="Times New Roman"/>
          <w:sz w:val="22"/>
        </w:rPr>
        <w:t xml:space="preserve">answers to some frequently asked questions concerning the proposed </w:t>
      </w:r>
      <w:r w:rsidRPr="00393C83">
        <w:rPr>
          <w:rFonts w:asciiTheme="minorHAnsi" w:hAnsiTheme="minorHAnsi" w:cs="Times New Roman"/>
          <w:sz w:val="22"/>
        </w:rPr>
        <w:t>change to the definition of attest</w:t>
      </w:r>
      <w:r w:rsidR="00B402E0" w:rsidRPr="00393C83">
        <w:rPr>
          <w:rFonts w:asciiTheme="minorHAnsi" w:hAnsiTheme="minorHAnsi" w:cs="Times New Roman"/>
          <w:sz w:val="22"/>
        </w:rPr>
        <w:t xml:space="preserve"> in our state’s accountancy </w:t>
      </w:r>
      <w:proofErr w:type="gramStart"/>
      <w:r w:rsidR="00B402E0" w:rsidRPr="00393C83">
        <w:rPr>
          <w:rFonts w:asciiTheme="minorHAnsi" w:hAnsiTheme="minorHAnsi" w:cs="Times New Roman"/>
          <w:sz w:val="22"/>
        </w:rPr>
        <w:t>statute</w:t>
      </w:r>
      <w:r w:rsidRPr="00393C83">
        <w:rPr>
          <w:rFonts w:asciiTheme="minorHAnsi" w:hAnsiTheme="minorHAnsi" w:cs="Times New Roman"/>
          <w:sz w:val="22"/>
        </w:rPr>
        <w:t>.</w:t>
      </w:r>
      <w:proofErr w:type="gramEnd"/>
      <w:r w:rsidR="00D52300" w:rsidRPr="00393C83">
        <w:rPr>
          <w:rFonts w:asciiTheme="minorHAnsi" w:hAnsiTheme="minorHAnsi" w:cs="Times New Roman"/>
          <w:sz w:val="22"/>
        </w:rPr>
        <w:t xml:space="preserve">  For more information, please contact</w:t>
      </w:r>
      <w:r w:rsidR="002B7016" w:rsidRPr="00393C83">
        <w:rPr>
          <w:rFonts w:asciiTheme="minorHAnsi" w:hAnsiTheme="minorHAnsi" w:cs="Times New Roman"/>
          <w:sz w:val="22"/>
        </w:rPr>
        <w:t xml:space="preserve"> </w:t>
      </w:r>
      <w:r w:rsidR="008B6AA8" w:rsidRPr="00393C83">
        <w:rPr>
          <w:rFonts w:asciiTheme="minorHAnsi" w:hAnsiTheme="minorHAnsi" w:cs="Times New Roman"/>
          <w:b/>
          <w:sz w:val="22"/>
          <w:highlight w:val="yellow"/>
          <w:u w:val="single"/>
        </w:rPr>
        <w:t xml:space="preserve">(your </w:t>
      </w:r>
      <w:r w:rsidR="00FC2B5E" w:rsidRPr="00393C83">
        <w:rPr>
          <w:rFonts w:asciiTheme="minorHAnsi" w:hAnsiTheme="minorHAnsi" w:cs="Times New Roman"/>
          <w:b/>
          <w:sz w:val="22"/>
          <w:highlight w:val="yellow"/>
          <w:u w:val="single"/>
        </w:rPr>
        <w:t xml:space="preserve">State CPA Society </w:t>
      </w:r>
      <w:r w:rsidR="008B6AA8" w:rsidRPr="00393C83">
        <w:rPr>
          <w:rFonts w:asciiTheme="minorHAnsi" w:hAnsiTheme="minorHAnsi" w:cs="Times New Roman"/>
          <w:b/>
          <w:sz w:val="22"/>
          <w:highlight w:val="yellow"/>
          <w:u w:val="single"/>
        </w:rPr>
        <w:t xml:space="preserve">GR staff </w:t>
      </w:r>
      <w:r w:rsidR="00C825E7" w:rsidRPr="00393C83">
        <w:rPr>
          <w:rFonts w:asciiTheme="minorHAnsi" w:hAnsiTheme="minorHAnsi" w:cs="Times New Roman"/>
          <w:b/>
          <w:sz w:val="22"/>
          <w:highlight w:val="yellow"/>
          <w:u w:val="single"/>
        </w:rPr>
        <w:t xml:space="preserve">contact </w:t>
      </w:r>
      <w:r w:rsidR="008B6AA8" w:rsidRPr="00393C83">
        <w:rPr>
          <w:rFonts w:asciiTheme="minorHAnsi" w:hAnsiTheme="minorHAnsi" w:cs="Times New Roman"/>
          <w:b/>
          <w:sz w:val="22"/>
          <w:highlight w:val="yellow"/>
          <w:u w:val="single"/>
        </w:rPr>
        <w:t>or Exec</w:t>
      </w:r>
      <w:r w:rsidR="00C825E7" w:rsidRPr="00393C83">
        <w:rPr>
          <w:rFonts w:asciiTheme="minorHAnsi" w:hAnsiTheme="minorHAnsi" w:cs="Times New Roman"/>
          <w:b/>
          <w:sz w:val="22"/>
          <w:highlight w:val="yellow"/>
          <w:u w:val="single"/>
        </w:rPr>
        <w:t>utive Director</w:t>
      </w:r>
      <w:r w:rsidR="008B6AA8" w:rsidRPr="00393C83">
        <w:rPr>
          <w:rFonts w:asciiTheme="minorHAnsi" w:hAnsiTheme="minorHAnsi" w:cs="Times New Roman"/>
          <w:b/>
          <w:sz w:val="22"/>
          <w:highlight w:val="yellow"/>
          <w:u w:val="single"/>
        </w:rPr>
        <w:t>)</w:t>
      </w:r>
      <w:r w:rsidR="008B6AA8" w:rsidRPr="00393C83">
        <w:rPr>
          <w:rFonts w:asciiTheme="minorHAnsi" w:hAnsiTheme="minorHAnsi" w:cs="Times New Roman"/>
          <w:b/>
          <w:sz w:val="22"/>
        </w:rPr>
        <w:t>.</w:t>
      </w:r>
      <w:r w:rsidR="002B7016" w:rsidRPr="00393C83">
        <w:rPr>
          <w:rFonts w:asciiTheme="minorHAnsi" w:hAnsiTheme="minorHAnsi" w:cs="Times New Roman"/>
          <w:b/>
          <w:sz w:val="22"/>
        </w:rPr>
        <w:t xml:space="preserve">  </w:t>
      </w:r>
    </w:p>
    <w:p w:rsidR="009255E6" w:rsidRPr="00393C83" w:rsidRDefault="009255E6" w:rsidP="00CE30E0">
      <w:pPr>
        <w:pStyle w:val="Default"/>
        <w:spacing w:line="276" w:lineRule="auto"/>
        <w:rPr>
          <w:rFonts w:asciiTheme="minorHAnsi" w:hAnsiTheme="minorHAnsi" w:cs="Times New Roman"/>
          <w:sz w:val="22"/>
        </w:rPr>
      </w:pPr>
    </w:p>
    <w:p w:rsidR="009255E6" w:rsidRPr="00393C83" w:rsidRDefault="009255E6" w:rsidP="00CE30E0">
      <w:pPr>
        <w:pStyle w:val="Default"/>
        <w:numPr>
          <w:ilvl w:val="0"/>
          <w:numId w:val="5"/>
        </w:numPr>
        <w:spacing w:line="276" w:lineRule="auto"/>
        <w:rPr>
          <w:rFonts w:asciiTheme="minorHAnsi" w:hAnsiTheme="minorHAnsi" w:cs="Times New Roman"/>
          <w:b/>
          <w:sz w:val="22"/>
        </w:rPr>
      </w:pPr>
      <w:r w:rsidRPr="00393C83">
        <w:rPr>
          <w:rFonts w:asciiTheme="minorHAnsi" w:hAnsiTheme="minorHAnsi" w:cs="Times New Roman"/>
          <w:b/>
          <w:sz w:val="22"/>
        </w:rPr>
        <w:t>What are attest services?</w:t>
      </w:r>
    </w:p>
    <w:p w:rsidR="009255E6" w:rsidRPr="00393C83" w:rsidRDefault="009255E6" w:rsidP="00CE30E0">
      <w:pPr>
        <w:pStyle w:val="Default"/>
        <w:spacing w:line="276" w:lineRule="auto"/>
        <w:rPr>
          <w:rFonts w:asciiTheme="minorHAnsi" w:hAnsiTheme="minorHAnsi" w:cs="Times New Roman"/>
          <w:sz w:val="22"/>
        </w:rPr>
      </w:pPr>
    </w:p>
    <w:p w:rsidR="005B403F" w:rsidRPr="00393C83" w:rsidRDefault="005B403F" w:rsidP="005B403F">
      <w:pPr>
        <w:rPr>
          <w:rFonts w:cs="Times New Roman"/>
          <w:szCs w:val="24"/>
        </w:rPr>
      </w:pPr>
      <w:r w:rsidRPr="00393C83">
        <w:rPr>
          <w:rFonts w:cs="Times New Roman"/>
          <w:szCs w:val="24"/>
        </w:rPr>
        <w:t xml:space="preserve">Attest services are unique in our state’s accountancy statute.  While CPAs perform a broad range of services for the public that other individuals also can perform, attest services are a set of protected services that can </w:t>
      </w:r>
      <w:r w:rsidRPr="00393C83">
        <w:rPr>
          <w:rFonts w:cs="Times New Roman"/>
          <w:b/>
          <w:i/>
          <w:szCs w:val="24"/>
          <w:u w:val="single"/>
        </w:rPr>
        <w:t>only</w:t>
      </w:r>
      <w:r w:rsidRPr="00393C83">
        <w:rPr>
          <w:rFonts w:cs="Times New Roman"/>
          <w:szCs w:val="24"/>
        </w:rPr>
        <w:t xml:space="preserve"> be performed by a CPA operating within a CPA firm.  They include audits, reviews, </w:t>
      </w:r>
      <w:r w:rsidRPr="00393C83">
        <w:rPr>
          <w:rFonts w:cs="Times New Roman"/>
          <w:b/>
          <w:szCs w:val="24"/>
          <w:highlight w:val="yellow"/>
        </w:rPr>
        <w:t>[compilations – if your state includes them],</w:t>
      </w:r>
      <w:r w:rsidRPr="00393C83">
        <w:rPr>
          <w:rFonts w:cs="Times New Roman"/>
          <w:szCs w:val="24"/>
        </w:rPr>
        <w:t xml:space="preserve"> examinations of prospective financial information, and engagements </w:t>
      </w:r>
      <w:r w:rsidR="00EA5DC4" w:rsidRPr="00393C83">
        <w:rPr>
          <w:rFonts w:cs="Times New Roman"/>
          <w:szCs w:val="24"/>
        </w:rPr>
        <w:t>performed pursuant</w:t>
      </w:r>
      <w:r w:rsidR="004C7E52" w:rsidRPr="00393C83">
        <w:rPr>
          <w:rFonts w:cs="Times New Roman"/>
          <w:szCs w:val="24"/>
        </w:rPr>
        <w:t xml:space="preserve"> to</w:t>
      </w:r>
      <w:r w:rsidR="00EA5DC4" w:rsidRPr="00393C83">
        <w:rPr>
          <w:rFonts w:cs="Times New Roman"/>
          <w:szCs w:val="24"/>
        </w:rPr>
        <w:t xml:space="preserve"> </w:t>
      </w:r>
      <w:r w:rsidRPr="00393C83">
        <w:rPr>
          <w:rFonts w:cs="Times New Roman"/>
          <w:szCs w:val="24"/>
        </w:rPr>
        <w:t>the Public Company Acc</w:t>
      </w:r>
      <w:r w:rsidR="000859F5" w:rsidRPr="00393C83">
        <w:rPr>
          <w:rFonts w:cs="Times New Roman"/>
          <w:szCs w:val="24"/>
        </w:rPr>
        <w:t>ounting Oversight Board (PCAOB); attest</w:t>
      </w:r>
      <w:r w:rsidR="00EA5DC4" w:rsidRPr="00393C83">
        <w:rPr>
          <w:rFonts w:cs="Times New Roman"/>
          <w:szCs w:val="24"/>
        </w:rPr>
        <w:t>ation</w:t>
      </w:r>
      <w:r w:rsidR="000859F5" w:rsidRPr="00393C83">
        <w:rPr>
          <w:rFonts w:cs="Times New Roman"/>
          <w:szCs w:val="24"/>
        </w:rPr>
        <w:t xml:space="preserve"> standards are developed and published by the American Institute of Certified Public Accountants (AICPA).</w:t>
      </w:r>
    </w:p>
    <w:p w:rsidR="005B403F" w:rsidRPr="00393C83" w:rsidRDefault="005B403F" w:rsidP="005B403F">
      <w:pPr>
        <w:rPr>
          <w:rFonts w:cs="Times New Roman"/>
          <w:szCs w:val="24"/>
        </w:rPr>
      </w:pPr>
      <w:r w:rsidRPr="00393C83">
        <w:rPr>
          <w:rFonts w:cs="Times New Roman"/>
          <w:szCs w:val="24"/>
        </w:rPr>
        <w:t xml:space="preserve">When the definition of attest was first put into our accountancy statute, lawmakers realized that, just as only doctors should practice medicine, and only lawyers should practice law, certain professional services should only be provided by CPAs.  </w:t>
      </w:r>
    </w:p>
    <w:p w:rsidR="005B403F" w:rsidRPr="00393C83" w:rsidRDefault="005B403F" w:rsidP="005B403F">
      <w:pPr>
        <w:rPr>
          <w:rFonts w:cs="Times New Roman"/>
          <w:szCs w:val="24"/>
        </w:rPr>
      </w:pPr>
      <w:r w:rsidRPr="00393C83">
        <w:rPr>
          <w:rFonts w:cs="Times New Roman"/>
          <w:szCs w:val="24"/>
        </w:rPr>
        <w:t xml:space="preserve">The public relies on these protections.  And, they need to know that when they engage a professional for these attest services that the professional has the right degree of expertise, education, and regulatory oversight – a combination only available from a CPA, operating within a CPA firm.  </w:t>
      </w:r>
    </w:p>
    <w:p w:rsidR="00F821E9" w:rsidRPr="00393C83" w:rsidRDefault="00F821E9" w:rsidP="00CE30E0">
      <w:pPr>
        <w:pStyle w:val="Default"/>
        <w:spacing w:line="276" w:lineRule="auto"/>
        <w:rPr>
          <w:rFonts w:asciiTheme="minorHAnsi" w:hAnsiTheme="minorHAnsi" w:cs="Times New Roman"/>
          <w:sz w:val="22"/>
        </w:rPr>
      </w:pPr>
    </w:p>
    <w:p w:rsidR="004244A8" w:rsidRPr="00393C83" w:rsidRDefault="004244A8" w:rsidP="00CE30E0">
      <w:pPr>
        <w:pStyle w:val="Default"/>
        <w:numPr>
          <w:ilvl w:val="0"/>
          <w:numId w:val="5"/>
        </w:numPr>
        <w:spacing w:line="276" w:lineRule="auto"/>
        <w:rPr>
          <w:rFonts w:asciiTheme="minorHAnsi" w:hAnsiTheme="minorHAnsi" w:cs="Times New Roman"/>
          <w:b/>
          <w:sz w:val="22"/>
        </w:rPr>
      </w:pPr>
      <w:r w:rsidRPr="00393C83">
        <w:rPr>
          <w:rFonts w:asciiTheme="minorHAnsi" w:hAnsiTheme="minorHAnsi" w:cs="Times New Roman"/>
          <w:b/>
          <w:sz w:val="22"/>
        </w:rPr>
        <w:t>What makes a CPA uniquely qualified to pe</w:t>
      </w:r>
      <w:r w:rsidR="00AA68E4" w:rsidRPr="00393C83">
        <w:rPr>
          <w:rFonts w:asciiTheme="minorHAnsi" w:hAnsiTheme="minorHAnsi" w:cs="Times New Roman"/>
          <w:b/>
          <w:sz w:val="22"/>
        </w:rPr>
        <w:t>r</w:t>
      </w:r>
      <w:r w:rsidRPr="00393C83">
        <w:rPr>
          <w:rFonts w:asciiTheme="minorHAnsi" w:hAnsiTheme="minorHAnsi" w:cs="Times New Roman"/>
          <w:b/>
          <w:sz w:val="22"/>
        </w:rPr>
        <w:t>for</w:t>
      </w:r>
      <w:r w:rsidR="00F821E9" w:rsidRPr="00393C83">
        <w:rPr>
          <w:rFonts w:asciiTheme="minorHAnsi" w:hAnsiTheme="minorHAnsi" w:cs="Times New Roman"/>
          <w:b/>
          <w:sz w:val="22"/>
        </w:rPr>
        <w:t>m</w:t>
      </w:r>
      <w:r w:rsidRPr="00393C83">
        <w:rPr>
          <w:rFonts w:asciiTheme="minorHAnsi" w:hAnsiTheme="minorHAnsi" w:cs="Times New Roman"/>
          <w:b/>
          <w:sz w:val="22"/>
        </w:rPr>
        <w:t xml:space="preserve"> attest services?</w:t>
      </w:r>
    </w:p>
    <w:p w:rsidR="004244A8" w:rsidRPr="00393C83" w:rsidRDefault="004244A8" w:rsidP="00CE30E0">
      <w:pPr>
        <w:pStyle w:val="Default"/>
        <w:spacing w:line="276" w:lineRule="auto"/>
        <w:rPr>
          <w:rFonts w:asciiTheme="minorHAnsi" w:hAnsiTheme="minorHAnsi" w:cs="Times New Roman"/>
          <w:sz w:val="22"/>
        </w:rPr>
      </w:pPr>
    </w:p>
    <w:p w:rsidR="00FC2B5E" w:rsidRPr="00393C83" w:rsidRDefault="00103116" w:rsidP="00CE30E0">
      <w:pPr>
        <w:spacing w:after="0"/>
        <w:rPr>
          <w:rFonts w:cs="Times New Roman"/>
          <w:szCs w:val="24"/>
        </w:rPr>
      </w:pPr>
      <w:r w:rsidRPr="00393C83">
        <w:rPr>
          <w:rFonts w:cs="Times New Roman"/>
          <w:bCs/>
          <w:szCs w:val="24"/>
        </w:rPr>
        <w:t xml:space="preserve">Given their backgrounds, CPAs are uniquely qualified to perform assurance services.  </w:t>
      </w:r>
      <w:r w:rsidRPr="00393C83">
        <w:rPr>
          <w:rFonts w:cs="Times New Roman"/>
          <w:szCs w:val="24"/>
        </w:rPr>
        <w:t xml:space="preserve">CPAs must successfully complete 150 credit hours of education, have a minimum of one-year experience in the accounting profession, and successfully complete the Uniform CPA Examination to be eligible to apply for a CPA license.  </w:t>
      </w:r>
      <w:r w:rsidRPr="00393C83">
        <w:rPr>
          <w:rFonts w:cs="Times New Roman"/>
          <w:bCs/>
          <w:szCs w:val="24"/>
        </w:rPr>
        <w:t xml:space="preserve">They must also adhere to a strict code of ethics, comply with professional standards of practice, and meet on-going continuing professional development and education requirements. Furthermore, CPAs face a high level of regulatory oversight at the state level, and, in certain instances, the federal level.  All of these rigorous </w:t>
      </w:r>
      <w:r w:rsidR="000859F5" w:rsidRPr="00393C83">
        <w:rPr>
          <w:rFonts w:cs="Times New Roman"/>
          <w:bCs/>
          <w:szCs w:val="24"/>
        </w:rPr>
        <w:t>public protections</w:t>
      </w:r>
      <w:r w:rsidRPr="00393C83">
        <w:rPr>
          <w:rFonts w:cs="Times New Roman"/>
          <w:bCs/>
          <w:szCs w:val="24"/>
        </w:rPr>
        <w:t xml:space="preserve"> ensure that CPAs bring a unique, high-caliber skillset to the marketplace for the</w:t>
      </w:r>
      <w:r w:rsidR="000859F5" w:rsidRPr="00393C83">
        <w:rPr>
          <w:rFonts w:cs="Times New Roman"/>
          <w:bCs/>
          <w:szCs w:val="24"/>
        </w:rPr>
        <w:t xml:space="preserve"> provision of the</w:t>
      </w:r>
      <w:r w:rsidRPr="00393C83">
        <w:rPr>
          <w:rFonts w:cs="Times New Roman"/>
          <w:bCs/>
          <w:szCs w:val="24"/>
        </w:rPr>
        <w:t xml:space="preserve">se services.  </w:t>
      </w:r>
      <w:r w:rsidR="00FC2B5E" w:rsidRPr="00393C83">
        <w:rPr>
          <w:rFonts w:cs="Times New Roman"/>
          <w:szCs w:val="24"/>
        </w:rPr>
        <w:t>In addition, CPA firms also face a high level of regulatory oversight, operate under robust quality controls and processes, and are subject to</w:t>
      </w:r>
      <w:r w:rsidR="000859F5" w:rsidRPr="00393C83">
        <w:rPr>
          <w:rFonts w:cs="Times New Roman"/>
          <w:szCs w:val="24"/>
        </w:rPr>
        <w:t xml:space="preserve"> a state-mandated </w:t>
      </w:r>
      <w:r w:rsidR="00FC2B5E" w:rsidRPr="00393C83">
        <w:rPr>
          <w:rFonts w:cs="Times New Roman"/>
          <w:szCs w:val="24"/>
        </w:rPr>
        <w:t xml:space="preserve">peer review program. </w:t>
      </w:r>
      <w:r w:rsidR="00B402E0" w:rsidRPr="00393C83">
        <w:rPr>
          <w:rFonts w:cs="Times New Roman"/>
          <w:szCs w:val="24"/>
        </w:rPr>
        <w:t xml:space="preserve"> </w:t>
      </w:r>
      <w:r w:rsidR="00FC2B5E" w:rsidRPr="00393C83">
        <w:rPr>
          <w:rFonts w:cs="Times New Roman"/>
          <w:szCs w:val="24"/>
        </w:rPr>
        <w:t xml:space="preserve">Non-CPAs </w:t>
      </w:r>
      <w:r w:rsidR="00B402E0" w:rsidRPr="00393C83">
        <w:rPr>
          <w:rFonts w:cs="Times New Roman"/>
          <w:szCs w:val="24"/>
        </w:rPr>
        <w:t>and their firms</w:t>
      </w:r>
      <w:r w:rsidR="00FC2B5E" w:rsidRPr="00393C83">
        <w:rPr>
          <w:rFonts w:cs="Times New Roman"/>
          <w:szCs w:val="24"/>
        </w:rPr>
        <w:t xml:space="preserve"> do not have to meet these requirements</w:t>
      </w:r>
      <w:r w:rsidR="00B402E0" w:rsidRPr="00393C83">
        <w:rPr>
          <w:rFonts w:cs="Times New Roman"/>
          <w:szCs w:val="24"/>
        </w:rPr>
        <w:t xml:space="preserve"> for</w:t>
      </w:r>
      <w:r w:rsidR="0002730E" w:rsidRPr="00393C83">
        <w:rPr>
          <w:rFonts w:cs="Times New Roman"/>
          <w:szCs w:val="24"/>
        </w:rPr>
        <w:t xml:space="preserve"> services they </w:t>
      </w:r>
      <w:r w:rsidR="000859F5" w:rsidRPr="00393C83">
        <w:rPr>
          <w:rFonts w:cs="Times New Roman"/>
          <w:szCs w:val="24"/>
        </w:rPr>
        <w:t xml:space="preserve">may </w:t>
      </w:r>
      <w:r w:rsidR="0002730E" w:rsidRPr="00393C83">
        <w:rPr>
          <w:rFonts w:cs="Times New Roman"/>
          <w:szCs w:val="24"/>
        </w:rPr>
        <w:t>offer to the public</w:t>
      </w:r>
      <w:r w:rsidR="00FC2B5E" w:rsidRPr="00393C83">
        <w:rPr>
          <w:rFonts w:cs="Times New Roman"/>
          <w:szCs w:val="24"/>
        </w:rPr>
        <w:t>.</w:t>
      </w:r>
      <w:r w:rsidR="00ED07AD" w:rsidRPr="00393C83">
        <w:rPr>
          <w:rFonts w:cs="Times New Roman"/>
          <w:bCs/>
          <w:szCs w:val="24"/>
        </w:rPr>
        <w:t xml:space="preserve">  In addition, CPAs serving in an auditor role are further set apart because, through their careers, they have developed specialized skills in gathering and analyzing evidence and have been trained to look at that evidence with objectivity and skepticism.  </w:t>
      </w:r>
      <w:r w:rsidR="00A374B2" w:rsidRPr="00393C83">
        <w:rPr>
          <w:rFonts w:cs="Times New Roman"/>
          <w:szCs w:val="24"/>
        </w:rPr>
        <w:br/>
      </w:r>
    </w:p>
    <w:p w:rsidR="00393C83" w:rsidRDefault="00393C83" w:rsidP="00393C83">
      <w:pPr>
        <w:pStyle w:val="ListParagraph"/>
        <w:spacing w:line="276" w:lineRule="auto"/>
        <w:rPr>
          <w:rFonts w:asciiTheme="minorHAnsi" w:hAnsiTheme="minorHAnsi" w:cs="Times New Roman"/>
          <w:b/>
          <w:bCs/>
          <w:szCs w:val="24"/>
        </w:rPr>
      </w:pPr>
    </w:p>
    <w:p w:rsidR="00393C83" w:rsidRDefault="00393C83" w:rsidP="00393C83">
      <w:pPr>
        <w:pStyle w:val="ListParagraph"/>
        <w:spacing w:line="276" w:lineRule="auto"/>
        <w:rPr>
          <w:rFonts w:asciiTheme="minorHAnsi" w:hAnsiTheme="minorHAnsi" w:cs="Times New Roman"/>
          <w:b/>
          <w:bCs/>
          <w:szCs w:val="24"/>
        </w:rPr>
      </w:pPr>
    </w:p>
    <w:p w:rsidR="00FC2B5E" w:rsidRPr="00393C83" w:rsidRDefault="0002730E" w:rsidP="00CE30E0">
      <w:pPr>
        <w:pStyle w:val="ListParagraph"/>
        <w:numPr>
          <w:ilvl w:val="0"/>
          <w:numId w:val="5"/>
        </w:numPr>
        <w:spacing w:line="276" w:lineRule="auto"/>
        <w:rPr>
          <w:rFonts w:asciiTheme="minorHAnsi" w:hAnsiTheme="minorHAnsi" w:cs="Times New Roman"/>
          <w:b/>
          <w:bCs/>
          <w:szCs w:val="24"/>
        </w:rPr>
      </w:pPr>
      <w:r w:rsidRPr="00393C83">
        <w:rPr>
          <w:rFonts w:asciiTheme="minorHAnsi" w:hAnsiTheme="minorHAnsi" w:cs="Times New Roman"/>
          <w:b/>
          <w:bCs/>
          <w:szCs w:val="24"/>
        </w:rPr>
        <w:lastRenderedPageBreak/>
        <w:t xml:space="preserve">What </w:t>
      </w:r>
      <w:r w:rsidR="00FC2B5E" w:rsidRPr="00393C83">
        <w:rPr>
          <w:rFonts w:asciiTheme="minorHAnsi" w:hAnsiTheme="minorHAnsi" w:cs="Times New Roman"/>
          <w:b/>
          <w:bCs/>
          <w:szCs w:val="24"/>
        </w:rPr>
        <w:t>are the current risks to the public</w:t>
      </w:r>
      <w:r w:rsidR="00B402E0" w:rsidRPr="00393C83">
        <w:rPr>
          <w:rFonts w:asciiTheme="minorHAnsi" w:hAnsiTheme="minorHAnsi" w:cs="Times New Roman"/>
          <w:b/>
          <w:bCs/>
          <w:szCs w:val="24"/>
        </w:rPr>
        <w:t xml:space="preserve"> that have been identified under our current law</w:t>
      </w:r>
      <w:r w:rsidR="00FC2B5E" w:rsidRPr="00393C83">
        <w:rPr>
          <w:rFonts w:asciiTheme="minorHAnsi" w:hAnsiTheme="minorHAnsi" w:cs="Times New Roman"/>
          <w:b/>
          <w:bCs/>
          <w:szCs w:val="24"/>
        </w:rPr>
        <w:t>?</w:t>
      </w:r>
    </w:p>
    <w:p w:rsidR="0002730E" w:rsidRPr="00393C83" w:rsidRDefault="0002730E" w:rsidP="00CE30E0">
      <w:pPr>
        <w:pStyle w:val="ListParagraph"/>
        <w:spacing w:line="276" w:lineRule="auto"/>
        <w:rPr>
          <w:rFonts w:asciiTheme="minorHAnsi" w:hAnsiTheme="minorHAnsi" w:cs="Times New Roman"/>
          <w:bCs/>
          <w:szCs w:val="24"/>
        </w:rPr>
      </w:pPr>
    </w:p>
    <w:p w:rsidR="00E01A53" w:rsidRPr="00393C83" w:rsidRDefault="0002730E" w:rsidP="00CE30E0">
      <w:pPr>
        <w:rPr>
          <w:rFonts w:cs="Times New Roman"/>
          <w:szCs w:val="24"/>
        </w:rPr>
      </w:pPr>
      <w:r w:rsidRPr="00393C83">
        <w:rPr>
          <w:rFonts w:cs="Times New Roman"/>
          <w:bCs/>
          <w:szCs w:val="24"/>
        </w:rPr>
        <w:t>Under our state law, n</w:t>
      </w:r>
      <w:r w:rsidR="00672AD9" w:rsidRPr="00393C83">
        <w:rPr>
          <w:rFonts w:cs="Times New Roman"/>
          <w:bCs/>
          <w:szCs w:val="24"/>
        </w:rPr>
        <w:t xml:space="preserve">on-CPAs </w:t>
      </w:r>
      <w:r w:rsidRPr="00393C83">
        <w:rPr>
          <w:rFonts w:cs="Times New Roman"/>
          <w:bCs/>
          <w:szCs w:val="24"/>
        </w:rPr>
        <w:t>may</w:t>
      </w:r>
      <w:r w:rsidR="00672AD9" w:rsidRPr="00393C83">
        <w:rPr>
          <w:rFonts w:cs="Times New Roman"/>
          <w:bCs/>
          <w:szCs w:val="24"/>
        </w:rPr>
        <w:t xml:space="preserve"> </w:t>
      </w:r>
      <w:r w:rsidRPr="00393C83">
        <w:rPr>
          <w:rFonts w:cs="Times New Roman"/>
          <w:bCs/>
          <w:szCs w:val="24"/>
        </w:rPr>
        <w:t xml:space="preserve">currently </w:t>
      </w:r>
      <w:r w:rsidR="00672AD9" w:rsidRPr="00393C83">
        <w:rPr>
          <w:rFonts w:cs="Times New Roman"/>
          <w:bCs/>
          <w:szCs w:val="24"/>
        </w:rPr>
        <w:t>perform</w:t>
      </w:r>
      <w:r w:rsidRPr="00393C83">
        <w:rPr>
          <w:rFonts w:cs="Times New Roman"/>
          <w:bCs/>
          <w:szCs w:val="24"/>
        </w:rPr>
        <w:t xml:space="preserve"> certain attest</w:t>
      </w:r>
      <w:r w:rsidR="00672AD9" w:rsidRPr="00393C83">
        <w:rPr>
          <w:rFonts w:cs="Times New Roman"/>
          <w:bCs/>
          <w:szCs w:val="24"/>
        </w:rPr>
        <w:t xml:space="preserve"> engagements and some are doing so using the AICPA-promulgated standards</w:t>
      </w:r>
      <w:r w:rsidRPr="00393C83">
        <w:rPr>
          <w:rFonts w:cs="Times New Roman"/>
          <w:bCs/>
          <w:szCs w:val="24"/>
        </w:rPr>
        <w:t xml:space="preserve"> known as the Statement on Standards for Attestation Engagements (SSAEs)</w:t>
      </w:r>
      <w:r w:rsidR="00672AD9" w:rsidRPr="00393C83">
        <w:rPr>
          <w:rFonts w:cs="Times New Roman"/>
          <w:bCs/>
          <w:szCs w:val="24"/>
        </w:rPr>
        <w:t xml:space="preserve">.  There is a very real set of risks to the public interest associated with non-CPAs issuing reports utilizing AICPA standards.  It is quite possible for the public (or other end-users of a report) to be confused or misled when using a report issued by a non-CPA who suggests or claims to have applied AICPA standards.  </w:t>
      </w:r>
      <w:r w:rsidR="00672AD9" w:rsidRPr="00393C83">
        <w:rPr>
          <w:rFonts w:cs="Times New Roman"/>
          <w:szCs w:val="24"/>
        </w:rPr>
        <w:t xml:space="preserve">Given the scope of attestation services, it raises a legitimate public policy question as to whether a non-CPA can appropriately apply AICPA standards in providing these services.   </w:t>
      </w:r>
      <w:r w:rsidR="00672AD9" w:rsidRPr="00393C83">
        <w:rPr>
          <w:rFonts w:cs="Times New Roman"/>
          <w:bCs/>
          <w:szCs w:val="24"/>
        </w:rPr>
        <w:t xml:space="preserve">Implicit in the issuance of such reports is an assumption about competence, experience, organizational protocols and processes, quality and government oversight.  </w:t>
      </w:r>
      <w:r w:rsidRPr="00393C83">
        <w:rPr>
          <w:rFonts w:cs="Times New Roman"/>
          <w:szCs w:val="24"/>
        </w:rPr>
        <w:t>In addition, b</w:t>
      </w:r>
      <w:r w:rsidR="00672AD9" w:rsidRPr="00393C83">
        <w:rPr>
          <w:rFonts w:cs="Times New Roman"/>
          <w:szCs w:val="24"/>
        </w:rPr>
        <w:t xml:space="preserve">ecause the attestation standards are a natural extension of the ten generally accepted auditing standards, they similarly require the need for technical competence, independence in fact and appearance, objectivity and integrity, due professional care, adequate planning and supervision, sufficient evidence, appropriate reporting, and the application of professional judgment, all of which are unique hallmarks of a CPA.  </w:t>
      </w:r>
    </w:p>
    <w:p w:rsidR="00C825E7" w:rsidRPr="00393C83" w:rsidRDefault="00B402E0" w:rsidP="00CE30E0">
      <w:pPr>
        <w:pStyle w:val="Default"/>
        <w:numPr>
          <w:ilvl w:val="0"/>
          <w:numId w:val="5"/>
        </w:numPr>
        <w:spacing w:line="276" w:lineRule="auto"/>
        <w:rPr>
          <w:rFonts w:asciiTheme="minorHAnsi" w:hAnsiTheme="minorHAnsi" w:cs="Times New Roman"/>
          <w:b/>
          <w:sz w:val="22"/>
        </w:rPr>
      </w:pPr>
      <w:r w:rsidRPr="00393C83">
        <w:rPr>
          <w:rFonts w:asciiTheme="minorHAnsi" w:hAnsiTheme="minorHAnsi" w:cs="Times New Roman"/>
          <w:b/>
          <w:bCs/>
          <w:sz w:val="22"/>
        </w:rPr>
        <w:t>Why</w:t>
      </w:r>
      <w:r w:rsidR="0002730E" w:rsidRPr="00393C83">
        <w:rPr>
          <w:rFonts w:asciiTheme="minorHAnsi" w:hAnsiTheme="minorHAnsi" w:cs="Times New Roman"/>
          <w:b/>
          <w:bCs/>
          <w:sz w:val="22"/>
        </w:rPr>
        <w:t xml:space="preserve"> is </w:t>
      </w:r>
      <w:r w:rsidR="0002730E" w:rsidRPr="00393C83">
        <w:rPr>
          <w:rFonts w:asciiTheme="minorHAnsi" w:hAnsiTheme="minorHAnsi" w:cs="Times New Roman"/>
          <w:b/>
          <w:bCs/>
          <w:color w:val="auto"/>
          <w:sz w:val="22"/>
        </w:rPr>
        <w:t xml:space="preserve">the </w:t>
      </w:r>
      <w:r w:rsidR="0002730E" w:rsidRPr="00393C83">
        <w:rPr>
          <w:rFonts w:asciiTheme="minorHAnsi" w:hAnsiTheme="minorHAnsi" w:cs="Times New Roman"/>
          <w:b/>
          <w:bCs/>
          <w:color w:val="auto"/>
          <w:sz w:val="22"/>
          <w:highlight w:val="yellow"/>
        </w:rPr>
        <w:t>[STATE SOCIETY]</w:t>
      </w:r>
      <w:r w:rsidR="0002730E" w:rsidRPr="00393C83">
        <w:rPr>
          <w:rFonts w:asciiTheme="minorHAnsi" w:hAnsiTheme="minorHAnsi" w:cs="Times New Roman"/>
          <w:b/>
          <w:bCs/>
          <w:color w:val="auto"/>
          <w:sz w:val="22"/>
        </w:rPr>
        <w:t xml:space="preserve"> </w:t>
      </w:r>
      <w:r w:rsidR="0002730E" w:rsidRPr="00393C83">
        <w:rPr>
          <w:rFonts w:asciiTheme="minorHAnsi" w:hAnsiTheme="minorHAnsi" w:cs="Times New Roman"/>
          <w:b/>
          <w:bCs/>
          <w:sz w:val="22"/>
        </w:rPr>
        <w:t xml:space="preserve">seeking to change the definition of attest?  </w:t>
      </w:r>
    </w:p>
    <w:p w:rsidR="00C825E7" w:rsidRPr="00393C83" w:rsidRDefault="00CE30E0" w:rsidP="00CE30E0">
      <w:pPr>
        <w:rPr>
          <w:rFonts w:cs="Times New Roman"/>
          <w:szCs w:val="24"/>
        </w:rPr>
      </w:pPr>
      <w:r w:rsidRPr="00393C83">
        <w:rPr>
          <w:rFonts w:cs="Times New Roman"/>
          <w:szCs w:val="24"/>
        </w:rPr>
        <w:br/>
      </w:r>
      <w:r w:rsidR="00C825E7" w:rsidRPr="00393C83">
        <w:rPr>
          <w:rFonts w:cs="Times New Roman"/>
          <w:szCs w:val="24"/>
        </w:rPr>
        <w:t>The marketplace and needs of clients have been changing</w:t>
      </w:r>
      <w:r w:rsidR="00B402E0" w:rsidRPr="00393C83">
        <w:rPr>
          <w:rFonts w:cs="Times New Roman"/>
          <w:szCs w:val="24"/>
        </w:rPr>
        <w:t xml:space="preserve"> over the past decade</w:t>
      </w:r>
      <w:r w:rsidR="00C825E7" w:rsidRPr="00393C83">
        <w:rPr>
          <w:rFonts w:cs="Times New Roman"/>
          <w:szCs w:val="24"/>
        </w:rPr>
        <w:t xml:space="preserve">.  </w:t>
      </w:r>
      <w:r w:rsidR="00B402E0" w:rsidRPr="00393C83">
        <w:rPr>
          <w:rFonts w:cs="Times New Roman"/>
          <w:szCs w:val="24"/>
        </w:rPr>
        <w:t xml:space="preserve">Indeed, </w:t>
      </w:r>
      <w:r w:rsidR="00C825E7" w:rsidRPr="00393C83">
        <w:rPr>
          <w:rFonts w:cs="Times New Roman"/>
          <w:szCs w:val="24"/>
        </w:rPr>
        <w:t xml:space="preserve">CPAs </w:t>
      </w:r>
      <w:r w:rsidR="00B402E0" w:rsidRPr="00393C83">
        <w:rPr>
          <w:rFonts w:cs="Times New Roman"/>
          <w:szCs w:val="24"/>
        </w:rPr>
        <w:t xml:space="preserve">are </w:t>
      </w:r>
      <w:r w:rsidR="00C825E7" w:rsidRPr="00393C83">
        <w:rPr>
          <w:rFonts w:cs="Times New Roman"/>
          <w:szCs w:val="24"/>
        </w:rPr>
        <w:t xml:space="preserve">increasingly </w:t>
      </w:r>
      <w:r w:rsidR="00B402E0" w:rsidRPr="00393C83">
        <w:rPr>
          <w:rFonts w:cs="Times New Roman"/>
          <w:szCs w:val="24"/>
        </w:rPr>
        <w:t>being asked</w:t>
      </w:r>
      <w:r w:rsidR="00C825E7" w:rsidRPr="00393C83">
        <w:rPr>
          <w:rFonts w:cs="Times New Roman"/>
          <w:szCs w:val="24"/>
        </w:rPr>
        <w:t xml:space="preserve"> to provide, and have been providing, </w:t>
      </w:r>
      <w:r w:rsidR="0002730E" w:rsidRPr="00393C83">
        <w:rPr>
          <w:rFonts w:cs="Times New Roman"/>
          <w:szCs w:val="24"/>
        </w:rPr>
        <w:t xml:space="preserve">attest services on a whole host of engagements </w:t>
      </w:r>
      <w:r w:rsidR="00B402E0" w:rsidRPr="00393C83">
        <w:rPr>
          <w:rFonts w:cs="Times New Roman"/>
          <w:szCs w:val="24"/>
        </w:rPr>
        <w:t xml:space="preserve">not originally contemplated </w:t>
      </w:r>
      <w:r w:rsidR="00EA5DC4" w:rsidRPr="00393C83">
        <w:rPr>
          <w:rFonts w:cs="Times New Roman"/>
          <w:szCs w:val="24"/>
        </w:rPr>
        <w:t xml:space="preserve">by the state attest definition.  </w:t>
      </w:r>
      <w:r w:rsidR="0002730E" w:rsidRPr="00393C83">
        <w:rPr>
          <w:rFonts w:cs="Times New Roman"/>
          <w:szCs w:val="24"/>
        </w:rPr>
        <w:t xml:space="preserve">Examples </w:t>
      </w:r>
      <w:r w:rsidR="00B402E0" w:rsidRPr="00393C83">
        <w:rPr>
          <w:rFonts w:cs="Times New Roman"/>
          <w:szCs w:val="24"/>
        </w:rPr>
        <w:t xml:space="preserve">of such attestation engagements </w:t>
      </w:r>
      <w:r w:rsidR="0002730E" w:rsidRPr="00393C83">
        <w:rPr>
          <w:rFonts w:cs="Times New Roman"/>
          <w:szCs w:val="24"/>
        </w:rPr>
        <w:t xml:space="preserve">include </w:t>
      </w:r>
      <w:r w:rsidR="00B402E0" w:rsidRPr="00393C83">
        <w:rPr>
          <w:rFonts w:cs="Times New Roman"/>
          <w:szCs w:val="24"/>
        </w:rPr>
        <w:t xml:space="preserve">issuing reports on </w:t>
      </w:r>
      <w:r w:rsidR="00EA5DC4" w:rsidRPr="00393C83">
        <w:rPr>
          <w:rFonts w:cs="Times New Roman"/>
          <w:szCs w:val="24"/>
        </w:rPr>
        <w:t xml:space="preserve">security and privacy controls, </w:t>
      </w:r>
      <w:r w:rsidR="00B402E0" w:rsidRPr="00393C83">
        <w:rPr>
          <w:rFonts w:cs="Times New Roman"/>
          <w:szCs w:val="24"/>
        </w:rPr>
        <w:t>sustainability</w:t>
      </w:r>
      <w:r w:rsidR="0002730E" w:rsidRPr="00393C83">
        <w:rPr>
          <w:rFonts w:cs="Times New Roman"/>
          <w:szCs w:val="24"/>
        </w:rPr>
        <w:t>, greenhouse gas emissions, controls on service organizations, and XBRL-tagged data.</w:t>
      </w:r>
      <w:r w:rsidR="00743347" w:rsidRPr="00393C83">
        <w:rPr>
          <w:rFonts w:cs="Times New Roman"/>
          <w:szCs w:val="24"/>
        </w:rPr>
        <w:t xml:space="preserve"> </w:t>
      </w:r>
      <w:r w:rsidR="0002730E" w:rsidRPr="00393C83">
        <w:rPr>
          <w:rFonts w:cs="Times New Roman"/>
          <w:szCs w:val="24"/>
        </w:rPr>
        <w:t xml:space="preserve"> </w:t>
      </w:r>
      <w:r w:rsidR="00C825E7" w:rsidRPr="00393C83">
        <w:rPr>
          <w:rFonts w:cs="Times New Roman"/>
          <w:szCs w:val="24"/>
        </w:rPr>
        <w:t xml:space="preserve">In responding to these </w:t>
      </w:r>
      <w:r w:rsidR="0002730E" w:rsidRPr="00393C83">
        <w:rPr>
          <w:rFonts w:cs="Times New Roman"/>
          <w:szCs w:val="24"/>
        </w:rPr>
        <w:t xml:space="preserve">marketplace </w:t>
      </w:r>
      <w:r w:rsidR="00C825E7" w:rsidRPr="00393C83">
        <w:rPr>
          <w:rFonts w:cs="Times New Roman"/>
          <w:szCs w:val="24"/>
        </w:rPr>
        <w:t xml:space="preserve">needs, CPAs have been able to apply the basic concepts underlying audit and review to these </w:t>
      </w:r>
      <w:r w:rsidR="0002730E" w:rsidRPr="00393C83">
        <w:rPr>
          <w:rFonts w:cs="Times New Roman"/>
          <w:szCs w:val="24"/>
        </w:rPr>
        <w:t>attest</w:t>
      </w:r>
      <w:r w:rsidR="00C825E7" w:rsidRPr="00393C83">
        <w:rPr>
          <w:rFonts w:cs="Times New Roman"/>
          <w:szCs w:val="24"/>
        </w:rPr>
        <w:t xml:space="preserve"> services.</w:t>
      </w:r>
      <w:r w:rsidR="0002730E" w:rsidRPr="00393C83">
        <w:rPr>
          <w:rFonts w:cs="Times New Roman"/>
          <w:szCs w:val="24"/>
        </w:rPr>
        <w:t xml:space="preserve">  However, unfortunately, all of these services can also currently be performed by non-CPAs using the accounting profession’s standards.  </w:t>
      </w:r>
      <w:r w:rsidR="00C825E7" w:rsidRPr="00393C83">
        <w:rPr>
          <w:rFonts w:cs="Times New Roman"/>
          <w:szCs w:val="24"/>
        </w:rPr>
        <w:t xml:space="preserve"> </w:t>
      </w:r>
    </w:p>
    <w:p w:rsidR="00C825E7" w:rsidRPr="00393C83" w:rsidRDefault="0002730E" w:rsidP="00CE30E0">
      <w:pPr>
        <w:rPr>
          <w:rFonts w:cs="Times New Roman"/>
          <w:szCs w:val="24"/>
        </w:rPr>
      </w:pPr>
      <w:r w:rsidRPr="00393C83">
        <w:rPr>
          <w:rFonts w:cs="Times New Roman"/>
          <w:szCs w:val="24"/>
        </w:rPr>
        <w:t>In addition</w:t>
      </w:r>
      <w:r w:rsidR="00B402E0" w:rsidRPr="00393C83">
        <w:rPr>
          <w:rFonts w:cs="Times New Roman"/>
          <w:szCs w:val="24"/>
        </w:rPr>
        <w:t xml:space="preserve"> to concerns about competency by non-CPAs using CPA standards</w:t>
      </w:r>
      <w:r w:rsidRPr="00393C83">
        <w:rPr>
          <w:rFonts w:cs="Times New Roman"/>
          <w:szCs w:val="24"/>
        </w:rPr>
        <w:t xml:space="preserve">, there is another risk to the definition of attest in our state law.  </w:t>
      </w:r>
      <w:r w:rsidR="00C825E7" w:rsidRPr="00393C83">
        <w:rPr>
          <w:rFonts w:cs="Times New Roman"/>
          <w:szCs w:val="24"/>
        </w:rPr>
        <w:t xml:space="preserve">Despite the </w:t>
      </w:r>
      <w:r w:rsidRPr="00393C83">
        <w:rPr>
          <w:rFonts w:cs="Times New Roman"/>
          <w:szCs w:val="24"/>
        </w:rPr>
        <w:t xml:space="preserve">narrowly </w:t>
      </w:r>
      <w:r w:rsidR="00C825E7" w:rsidRPr="00393C83">
        <w:rPr>
          <w:rFonts w:cs="Times New Roman"/>
          <w:szCs w:val="24"/>
        </w:rPr>
        <w:t>targeted focus of the definition of attest</w:t>
      </w:r>
      <w:r w:rsidR="00B402E0" w:rsidRPr="00393C83">
        <w:rPr>
          <w:rFonts w:cs="Times New Roman"/>
          <w:szCs w:val="24"/>
        </w:rPr>
        <w:t xml:space="preserve"> in our law</w:t>
      </w:r>
      <w:r w:rsidR="00C825E7" w:rsidRPr="00393C83">
        <w:rPr>
          <w:rFonts w:cs="Times New Roman"/>
          <w:szCs w:val="24"/>
        </w:rPr>
        <w:t xml:space="preserve">, the scope of the definition of attest can change unexpectedly through a change in the referenced </w:t>
      </w:r>
      <w:r w:rsidR="00B402E0" w:rsidRPr="00393C83">
        <w:rPr>
          <w:rFonts w:cs="Times New Roman"/>
          <w:szCs w:val="24"/>
        </w:rPr>
        <w:t xml:space="preserve">AICPA </w:t>
      </w:r>
      <w:r w:rsidR="00C825E7" w:rsidRPr="00393C83">
        <w:rPr>
          <w:rFonts w:cs="Times New Roman"/>
          <w:szCs w:val="24"/>
        </w:rPr>
        <w:t xml:space="preserve">standards.  Indeed, that is exactly what happened </w:t>
      </w:r>
      <w:r w:rsidRPr="00393C83">
        <w:rPr>
          <w:rFonts w:cs="Times New Roman"/>
          <w:szCs w:val="24"/>
        </w:rPr>
        <w:t xml:space="preserve">relatively </w:t>
      </w:r>
      <w:r w:rsidR="00C825E7" w:rsidRPr="00393C83">
        <w:rPr>
          <w:rFonts w:cs="Times New Roman"/>
          <w:szCs w:val="24"/>
        </w:rPr>
        <w:t xml:space="preserve">recently when </w:t>
      </w:r>
      <w:r w:rsidRPr="00393C83">
        <w:rPr>
          <w:rFonts w:cs="Times New Roman"/>
          <w:szCs w:val="24"/>
        </w:rPr>
        <w:t>the Statement on Audit</w:t>
      </w:r>
      <w:r w:rsidR="00743347" w:rsidRPr="00393C83">
        <w:rPr>
          <w:rFonts w:cs="Times New Roman"/>
          <w:szCs w:val="24"/>
        </w:rPr>
        <w:t>i</w:t>
      </w:r>
      <w:r w:rsidRPr="00393C83">
        <w:rPr>
          <w:rFonts w:cs="Times New Roman"/>
          <w:szCs w:val="24"/>
        </w:rPr>
        <w:t>ng Standards (SAS) 70,</w:t>
      </w:r>
      <w:r w:rsidR="00C825E7" w:rsidRPr="00393C83">
        <w:rPr>
          <w:rFonts w:cs="Times New Roman"/>
          <w:szCs w:val="24"/>
        </w:rPr>
        <w:t xml:space="preserve"> </w:t>
      </w:r>
      <w:r w:rsidR="00C825E7" w:rsidRPr="00393C83">
        <w:rPr>
          <w:rFonts w:cs="Times New Roman"/>
          <w:i/>
          <w:iCs/>
          <w:szCs w:val="24"/>
        </w:rPr>
        <w:t>Reporting on Controls at a Service Organization</w:t>
      </w:r>
      <w:r w:rsidR="00C825E7" w:rsidRPr="00393C83">
        <w:rPr>
          <w:rFonts w:cs="Times New Roman"/>
          <w:szCs w:val="24"/>
        </w:rPr>
        <w:t xml:space="preserve">, was rewritten and reissued as SSAE 16. This </w:t>
      </w:r>
      <w:r w:rsidRPr="00393C83">
        <w:rPr>
          <w:rFonts w:cs="Times New Roman"/>
          <w:szCs w:val="24"/>
        </w:rPr>
        <w:t xml:space="preserve">reclassification of a standard by the AICPA had the unintended effect of </w:t>
      </w:r>
      <w:r w:rsidR="00C825E7" w:rsidRPr="00393C83">
        <w:rPr>
          <w:rFonts w:cs="Times New Roman"/>
          <w:szCs w:val="24"/>
        </w:rPr>
        <w:t>mov</w:t>
      </w:r>
      <w:r w:rsidRPr="00393C83">
        <w:rPr>
          <w:rFonts w:cs="Times New Roman"/>
          <w:szCs w:val="24"/>
        </w:rPr>
        <w:t>ing</w:t>
      </w:r>
      <w:r w:rsidR="00C825E7" w:rsidRPr="00393C83">
        <w:rPr>
          <w:rFonts w:cs="Times New Roman"/>
          <w:szCs w:val="24"/>
        </w:rPr>
        <w:t xml:space="preserve"> </w:t>
      </w:r>
      <w:r w:rsidRPr="00393C83">
        <w:rPr>
          <w:rFonts w:cs="Times New Roman"/>
          <w:szCs w:val="24"/>
        </w:rPr>
        <w:t xml:space="preserve">the standard out from under our state’s definition of attest.  There is a risk that a further reclassification of profession standards for </w:t>
      </w:r>
      <w:r w:rsidR="00B402E0" w:rsidRPr="00393C83">
        <w:rPr>
          <w:rFonts w:cs="Times New Roman"/>
          <w:szCs w:val="24"/>
        </w:rPr>
        <w:t xml:space="preserve">technical </w:t>
      </w:r>
      <w:r w:rsidRPr="00393C83">
        <w:rPr>
          <w:rFonts w:cs="Times New Roman"/>
          <w:szCs w:val="24"/>
        </w:rPr>
        <w:t xml:space="preserve">reasons unrelated to our state laws could </w:t>
      </w:r>
      <w:r w:rsidR="00B402E0" w:rsidRPr="00393C83">
        <w:rPr>
          <w:rFonts w:cs="Times New Roman"/>
          <w:szCs w:val="24"/>
        </w:rPr>
        <w:t xml:space="preserve">inadvertently </w:t>
      </w:r>
      <w:r w:rsidRPr="00393C83">
        <w:rPr>
          <w:rFonts w:cs="Times New Roman"/>
          <w:szCs w:val="24"/>
        </w:rPr>
        <w:t>make their performance available to anyone irrespective of their qualifications, training, education, and background.</w:t>
      </w:r>
      <w:r w:rsidR="000859F5" w:rsidRPr="00393C83">
        <w:rPr>
          <w:rFonts w:cs="Times New Roman"/>
          <w:szCs w:val="24"/>
        </w:rPr>
        <w:t xml:space="preserve">  We need to close this potential loophole.</w:t>
      </w:r>
    </w:p>
    <w:p w:rsidR="001B1A32" w:rsidRPr="00393C83" w:rsidRDefault="001B1A32" w:rsidP="00CE30E0">
      <w:pPr>
        <w:pStyle w:val="ListParagraph"/>
        <w:numPr>
          <w:ilvl w:val="0"/>
          <w:numId w:val="5"/>
        </w:numPr>
        <w:spacing w:line="276" w:lineRule="auto"/>
        <w:rPr>
          <w:rFonts w:asciiTheme="minorHAnsi" w:hAnsiTheme="minorHAnsi" w:cs="Times New Roman"/>
          <w:b/>
          <w:szCs w:val="24"/>
        </w:rPr>
      </w:pPr>
      <w:r w:rsidRPr="00393C83">
        <w:rPr>
          <w:rFonts w:asciiTheme="minorHAnsi" w:hAnsiTheme="minorHAnsi" w:cs="Times New Roman"/>
          <w:b/>
          <w:szCs w:val="24"/>
        </w:rPr>
        <w:t>What is the current definition of attest</w:t>
      </w:r>
      <w:r w:rsidR="00B402E0" w:rsidRPr="00393C83">
        <w:rPr>
          <w:rFonts w:asciiTheme="minorHAnsi" w:hAnsiTheme="minorHAnsi" w:cs="Times New Roman"/>
          <w:b/>
          <w:szCs w:val="24"/>
        </w:rPr>
        <w:t xml:space="preserve"> in our state accountancy law</w:t>
      </w:r>
      <w:r w:rsidRPr="00393C83">
        <w:rPr>
          <w:rFonts w:asciiTheme="minorHAnsi" w:hAnsiTheme="minorHAnsi" w:cs="Times New Roman"/>
          <w:b/>
          <w:szCs w:val="24"/>
        </w:rPr>
        <w:t>?</w:t>
      </w:r>
    </w:p>
    <w:p w:rsidR="001B1A32" w:rsidRPr="00393C83" w:rsidRDefault="001B1A32" w:rsidP="00CE30E0">
      <w:pPr>
        <w:rPr>
          <w:rFonts w:cs="Times New Roman"/>
          <w:szCs w:val="24"/>
        </w:rPr>
      </w:pPr>
      <w:r w:rsidRPr="00393C83">
        <w:rPr>
          <w:rFonts w:cs="Times New Roman"/>
          <w:szCs w:val="24"/>
        </w:rPr>
        <w:br/>
        <w:t xml:space="preserve">The term “attest” as defined in </w:t>
      </w:r>
      <w:r w:rsidR="0002730E" w:rsidRPr="00393C83">
        <w:rPr>
          <w:rFonts w:cs="Times New Roman"/>
          <w:szCs w:val="24"/>
        </w:rPr>
        <w:t>our state law</w:t>
      </w:r>
      <w:r w:rsidRPr="00393C83">
        <w:rPr>
          <w:rFonts w:cs="Times New Roman"/>
          <w:szCs w:val="24"/>
        </w:rPr>
        <w:t xml:space="preserve"> is:</w:t>
      </w:r>
    </w:p>
    <w:p w:rsidR="00B402E0" w:rsidRPr="00393C83" w:rsidRDefault="00B402E0" w:rsidP="00CE30E0">
      <w:pPr>
        <w:widowControl w:val="0"/>
        <w:tabs>
          <w:tab w:val="left" w:pos="274"/>
          <w:tab w:val="left" w:pos="720"/>
          <w:tab w:val="left" w:pos="1267"/>
          <w:tab w:val="left" w:pos="1440"/>
          <w:tab w:val="left" w:pos="1800"/>
        </w:tabs>
        <w:ind w:left="720"/>
        <w:rPr>
          <w:rFonts w:eastAsia="Times New Roman" w:cs="Times New Roman"/>
          <w:b/>
          <w:snapToGrid w:val="0"/>
          <w:szCs w:val="24"/>
        </w:rPr>
      </w:pPr>
      <w:r w:rsidRPr="00393C83">
        <w:rPr>
          <w:rFonts w:eastAsia="Times New Roman" w:cs="Times New Roman"/>
          <w:b/>
          <w:snapToGrid w:val="0"/>
          <w:szCs w:val="24"/>
          <w:highlight w:val="yellow"/>
        </w:rPr>
        <w:t xml:space="preserve">PLACEHOLDER: THIS IS UAA LANGUAGE.  STATE SOCIETIES WILL NEED TO </w:t>
      </w:r>
      <w:r w:rsidR="00AA68E4" w:rsidRPr="00393C83">
        <w:rPr>
          <w:rFonts w:eastAsia="Times New Roman" w:cs="Times New Roman"/>
          <w:b/>
          <w:snapToGrid w:val="0"/>
          <w:szCs w:val="24"/>
          <w:highlight w:val="yellow"/>
        </w:rPr>
        <w:t xml:space="preserve">INSERT </w:t>
      </w:r>
      <w:r w:rsidRPr="00393C83">
        <w:rPr>
          <w:rFonts w:eastAsia="Times New Roman" w:cs="Times New Roman"/>
          <w:b/>
          <w:snapToGrid w:val="0"/>
          <w:szCs w:val="24"/>
          <w:highlight w:val="yellow"/>
        </w:rPr>
        <w:t xml:space="preserve">THEIR </w:t>
      </w:r>
      <w:r w:rsidRPr="00393C83">
        <w:rPr>
          <w:rFonts w:eastAsia="Times New Roman" w:cs="Times New Roman"/>
          <w:b/>
          <w:snapToGrid w:val="0"/>
          <w:szCs w:val="24"/>
          <w:highlight w:val="yellow"/>
        </w:rPr>
        <w:lastRenderedPageBreak/>
        <w:t>RELEVANT STATUTE PROVISION HERE</w:t>
      </w:r>
    </w:p>
    <w:p w:rsidR="001B1A32" w:rsidRPr="00393C83" w:rsidRDefault="001B1A32" w:rsidP="00CE30E0">
      <w:pPr>
        <w:widowControl w:val="0"/>
        <w:tabs>
          <w:tab w:val="left" w:pos="274"/>
          <w:tab w:val="left" w:pos="720"/>
          <w:tab w:val="left" w:pos="1267"/>
          <w:tab w:val="left" w:pos="1440"/>
          <w:tab w:val="left" w:pos="1800"/>
        </w:tabs>
        <w:ind w:left="720"/>
        <w:rPr>
          <w:rFonts w:eastAsia="Times New Roman" w:cs="Times New Roman"/>
          <w:snapToGrid w:val="0"/>
          <w:szCs w:val="24"/>
        </w:rPr>
      </w:pPr>
      <w:r w:rsidRPr="00393C83">
        <w:rPr>
          <w:rFonts w:eastAsia="Times New Roman" w:cs="Times New Roman"/>
          <w:snapToGrid w:val="0"/>
          <w:szCs w:val="24"/>
        </w:rPr>
        <w:t>Section 3 (b)</w:t>
      </w:r>
      <w:r w:rsidR="00743347" w:rsidRPr="00393C83">
        <w:rPr>
          <w:rFonts w:eastAsia="Times New Roman" w:cs="Times New Roman"/>
          <w:snapToGrid w:val="0"/>
          <w:szCs w:val="24"/>
        </w:rPr>
        <w:t xml:space="preserve"> </w:t>
      </w:r>
      <w:r w:rsidR="00743347" w:rsidRPr="00393C83">
        <w:rPr>
          <w:rFonts w:eastAsia="Times New Roman" w:cs="Times New Roman"/>
          <w:snapToGrid w:val="0"/>
          <w:szCs w:val="24"/>
        </w:rPr>
        <w:tab/>
      </w:r>
      <w:r w:rsidRPr="00393C83">
        <w:rPr>
          <w:rFonts w:eastAsia="Times New Roman" w:cs="Times New Roman"/>
          <w:snapToGrid w:val="0"/>
          <w:szCs w:val="24"/>
        </w:rPr>
        <w:t xml:space="preserve">“Attest” means providing the following financial statement services: </w:t>
      </w:r>
    </w:p>
    <w:p w:rsidR="001B1A32" w:rsidRPr="00393C83" w:rsidRDefault="001B1A32" w:rsidP="00CE30E0">
      <w:pPr>
        <w:widowControl w:val="0"/>
        <w:ind w:left="1980"/>
        <w:jc w:val="both"/>
        <w:rPr>
          <w:rFonts w:eastAsia="Times New Roman" w:cs="Times New Roman"/>
          <w:snapToGrid w:val="0"/>
          <w:szCs w:val="24"/>
        </w:rPr>
      </w:pPr>
      <w:r w:rsidRPr="00393C83">
        <w:rPr>
          <w:rFonts w:eastAsia="Times New Roman" w:cs="Times New Roman"/>
          <w:snapToGrid w:val="0"/>
          <w:szCs w:val="24"/>
        </w:rPr>
        <w:t xml:space="preserve">(1) </w:t>
      </w:r>
      <w:proofErr w:type="gramStart"/>
      <w:r w:rsidRPr="00393C83">
        <w:rPr>
          <w:rFonts w:eastAsia="Times New Roman" w:cs="Times New Roman"/>
          <w:snapToGrid w:val="0"/>
          <w:szCs w:val="24"/>
        </w:rPr>
        <w:t>any</w:t>
      </w:r>
      <w:proofErr w:type="gramEnd"/>
      <w:r w:rsidRPr="00393C83">
        <w:rPr>
          <w:rFonts w:eastAsia="Times New Roman" w:cs="Times New Roman"/>
          <w:snapToGrid w:val="0"/>
          <w:szCs w:val="24"/>
        </w:rPr>
        <w:t xml:space="preserve"> audit or other engagement to be performed in accordance with the Statements on Auditing Standards (SAS); </w:t>
      </w:r>
    </w:p>
    <w:p w:rsidR="001B1A32" w:rsidRPr="00393C83" w:rsidRDefault="001B1A32" w:rsidP="00CE30E0">
      <w:pPr>
        <w:widowControl w:val="0"/>
        <w:tabs>
          <w:tab w:val="left" w:pos="720"/>
          <w:tab w:val="left" w:pos="1267"/>
          <w:tab w:val="left" w:pos="1440"/>
          <w:tab w:val="left" w:pos="1800"/>
        </w:tabs>
        <w:ind w:left="1980"/>
        <w:jc w:val="both"/>
        <w:rPr>
          <w:rFonts w:eastAsia="Times New Roman" w:cs="Times New Roman"/>
          <w:snapToGrid w:val="0"/>
          <w:szCs w:val="24"/>
        </w:rPr>
      </w:pPr>
      <w:r w:rsidRPr="00393C83">
        <w:rPr>
          <w:rFonts w:eastAsia="Times New Roman" w:cs="Times New Roman"/>
          <w:snapToGrid w:val="0"/>
          <w:szCs w:val="24"/>
        </w:rPr>
        <w:t xml:space="preserve">(2) </w:t>
      </w:r>
      <w:proofErr w:type="gramStart"/>
      <w:r w:rsidRPr="00393C83">
        <w:rPr>
          <w:rFonts w:eastAsia="Times New Roman" w:cs="Times New Roman"/>
          <w:snapToGrid w:val="0"/>
          <w:szCs w:val="24"/>
        </w:rPr>
        <w:t>any</w:t>
      </w:r>
      <w:proofErr w:type="gramEnd"/>
      <w:r w:rsidRPr="00393C83">
        <w:rPr>
          <w:rFonts w:eastAsia="Times New Roman" w:cs="Times New Roman"/>
          <w:snapToGrid w:val="0"/>
          <w:szCs w:val="24"/>
        </w:rPr>
        <w:t xml:space="preserve"> review of a financial statement to be performed in accordance with the Statements on Standards for Accounting and Review Services (SSARS);  </w:t>
      </w:r>
    </w:p>
    <w:p w:rsidR="001B1A32" w:rsidRPr="00393C83" w:rsidRDefault="001B1A32" w:rsidP="00CE30E0">
      <w:pPr>
        <w:widowControl w:val="0"/>
        <w:tabs>
          <w:tab w:val="left" w:pos="720"/>
          <w:tab w:val="left" w:pos="1267"/>
          <w:tab w:val="left" w:pos="1440"/>
          <w:tab w:val="left" w:pos="1800"/>
        </w:tabs>
        <w:ind w:left="1980"/>
        <w:jc w:val="both"/>
        <w:rPr>
          <w:rFonts w:eastAsia="Times New Roman" w:cs="Times New Roman"/>
          <w:snapToGrid w:val="0"/>
          <w:szCs w:val="24"/>
        </w:rPr>
      </w:pPr>
      <w:r w:rsidRPr="00393C83">
        <w:rPr>
          <w:rFonts w:eastAsia="Times New Roman" w:cs="Times New Roman"/>
          <w:snapToGrid w:val="0"/>
          <w:szCs w:val="24"/>
        </w:rPr>
        <w:t xml:space="preserve">(3) </w:t>
      </w:r>
      <w:proofErr w:type="gramStart"/>
      <w:r w:rsidRPr="00393C83">
        <w:rPr>
          <w:rFonts w:eastAsia="Times New Roman" w:cs="Times New Roman"/>
          <w:snapToGrid w:val="0"/>
          <w:szCs w:val="24"/>
        </w:rPr>
        <w:t>any</w:t>
      </w:r>
      <w:proofErr w:type="gramEnd"/>
      <w:r w:rsidRPr="00393C83">
        <w:rPr>
          <w:rFonts w:eastAsia="Times New Roman" w:cs="Times New Roman"/>
          <w:snapToGrid w:val="0"/>
          <w:szCs w:val="24"/>
        </w:rPr>
        <w:t xml:space="preserve"> examination of prospective financial information to be performed in accordance with the Statements on Standards for Attestation Engagements (SSAE); and </w:t>
      </w:r>
    </w:p>
    <w:p w:rsidR="001B1A32" w:rsidRPr="00393C83" w:rsidRDefault="001B1A32" w:rsidP="00CE30E0">
      <w:pPr>
        <w:widowControl w:val="0"/>
        <w:tabs>
          <w:tab w:val="left" w:pos="720"/>
          <w:tab w:val="left" w:pos="1267"/>
          <w:tab w:val="left" w:pos="1440"/>
          <w:tab w:val="left" w:pos="1800"/>
        </w:tabs>
        <w:ind w:left="1980"/>
        <w:jc w:val="both"/>
        <w:rPr>
          <w:rFonts w:eastAsia="Times New Roman" w:cs="Times New Roman"/>
          <w:snapToGrid w:val="0"/>
          <w:szCs w:val="24"/>
        </w:rPr>
      </w:pPr>
      <w:r w:rsidRPr="00393C83">
        <w:rPr>
          <w:rFonts w:eastAsia="Times New Roman" w:cs="Times New Roman"/>
          <w:snapToGrid w:val="0"/>
          <w:szCs w:val="24"/>
        </w:rPr>
        <w:t xml:space="preserve">(4) </w:t>
      </w:r>
      <w:proofErr w:type="gramStart"/>
      <w:r w:rsidRPr="00393C83">
        <w:rPr>
          <w:rFonts w:eastAsia="Times New Roman" w:cs="Times New Roman"/>
          <w:snapToGrid w:val="0"/>
          <w:szCs w:val="24"/>
        </w:rPr>
        <w:t>any</w:t>
      </w:r>
      <w:proofErr w:type="gramEnd"/>
      <w:r w:rsidRPr="00393C83">
        <w:rPr>
          <w:rFonts w:eastAsia="Times New Roman" w:cs="Times New Roman"/>
          <w:snapToGrid w:val="0"/>
          <w:szCs w:val="24"/>
        </w:rPr>
        <w:t xml:space="preserve"> engagement to be performed in accordance with the standards of </w:t>
      </w:r>
      <w:r w:rsidRPr="00393C83">
        <w:rPr>
          <w:rFonts w:eastAsia="Times New Roman" w:cs="Times New Roman"/>
          <w:bCs/>
          <w:snapToGrid w:val="0"/>
          <w:szCs w:val="24"/>
        </w:rPr>
        <w:t>the</w:t>
      </w:r>
      <w:r w:rsidRPr="00393C83">
        <w:rPr>
          <w:rFonts w:eastAsia="Times New Roman" w:cs="Times New Roman"/>
          <w:snapToGrid w:val="0"/>
          <w:szCs w:val="24"/>
        </w:rPr>
        <w:t xml:space="preserve"> PCAOB</w:t>
      </w:r>
    </w:p>
    <w:p w:rsidR="001B1A32" w:rsidRPr="00393C83" w:rsidRDefault="001B1A32" w:rsidP="00CE30E0">
      <w:pPr>
        <w:widowControl w:val="0"/>
        <w:ind w:left="1980"/>
        <w:jc w:val="both"/>
        <w:rPr>
          <w:rFonts w:eastAsia="Times New Roman" w:cs="Times New Roman"/>
          <w:snapToGrid w:val="0"/>
          <w:szCs w:val="24"/>
        </w:rPr>
      </w:pPr>
      <w:r w:rsidRPr="00393C83">
        <w:rPr>
          <w:rFonts w:eastAsia="Times New Roman" w:cs="Times New Roman"/>
          <w:snapToGrid w:val="0"/>
          <w:szCs w:val="24"/>
        </w:rPr>
        <w:t xml:space="preserve">The standards specified in this definition shall be adopted by reference by the [state] Board pursuant to rulemaking and shall be those developed for general application by recognized national accountancy organizations, such as the AICPA, and the PCAOB. </w:t>
      </w:r>
    </w:p>
    <w:p w:rsidR="00CE30E0" w:rsidRPr="00393C83" w:rsidRDefault="00B402E0" w:rsidP="00CE30E0">
      <w:pPr>
        <w:pStyle w:val="Default"/>
        <w:numPr>
          <w:ilvl w:val="0"/>
          <w:numId w:val="5"/>
        </w:numPr>
        <w:spacing w:line="276" w:lineRule="auto"/>
        <w:rPr>
          <w:rFonts w:asciiTheme="minorHAnsi" w:hAnsiTheme="minorHAnsi" w:cs="Times New Roman"/>
          <w:b/>
          <w:sz w:val="22"/>
        </w:rPr>
      </w:pPr>
      <w:r w:rsidRPr="00393C83">
        <w:rPr>
          <w:rFonts w:asciiTheme="minorHAnsi" w:hAnsiTheme="minorHAnsi" w:cs="Times New Roman"/>
          <w:b/>
          <w:sz w:val="22"/>
        </w:rPr>
        <w:t xml:space="preserve">How does the </w:t>
      </w:r>
      <w:r w:rsidRPr="00393C83">
        <w:rPr>
          <w:rFonts w:asciiTheme="minorHAnsi" w:hAnsiTheme="minorHAnsi" w:cs="Times New Roman"/>
          <w:b/>
          <w:sz w:val="22"/>
          <w:highlight w:val="yellow"/>
        </w:rPr>
        <w:t>[STATE SOCIETY]’s</w:t>
      </w:r>
      <w:r w:rsidRPr="00393C83">
        <w:rPr>
          <w:rFonts w:asciiTheme="minorHAnsi" w:hAnsiTheme="minorHAnsi" w:cs="Times New Roman"/>
          <w:b/>
          <w:sz w:val="22"/>
        </w:rPr>
        <w:t xml:space="preserve"> proposal to amend the definition of attest guarantee that other service providers will be able to</w:t>
      </w:r>
      <w:r w:rsidR="001F6939" w:rsidRPr="00393C83">
        <w:rPr>
          <w:rFonts w:asciiTheme="minorHAnsi" w:hAnsiTheme="minorHAnsi" w:cs="Times New Roman"/>
          <w:b/>
          <w:sz w:val="22"/>
        </w:rPr>
        <w:t xml:space="preserve"> compete in the marketplace?  </w:t>
      </w:r>
    </w:p>
    <w:p w:rsidR="00CE30E0" w:rsidRPr="00393C83" w:rsidRDefault="00CE30E0" w:rsidP="00CE30E0">
      <w:pPr>
        <w:pStyle w:val="Default"/>
        <w:spacing w:line="276" w:lineRule="auto"/>
        <w:ind w:left="720"/>
        <w:rPr>
          <w:rFonts w:asciiTheme="minorHAnsi" w:hAnsiTheme="minorHAnsi" w:cs="Times New Roman"/>
          <w:b/>
          <w:sz w:val="22"/>
        </w:rPr>
      </w:pPr>
    </w:p>
    <w:p w:rsidR="001F6939" w:rsidRPr="00393C83" w:rsidRDefault="000859F5" w:rsidP="00244837">
      <w:pPr>
        <w:pStyle w:val="Default"/>
        <w:spacing w:line="276" w:lineRule="auto"/>
        <w:rPr>
          <w:rFonts w:asciiTheme="minorHAnsi" w:hAnsiTheme="minorHAnsi" w:cs="Times New Roman"/>
          <w:b/>
          <w:sz w:val="22"/>
        </w:rPr>
      </w:pPr>
      <w:r w:rsidRPr="00393C83">
        <w:rPr>
          <w:rFonts w:asciiTheme="minorHAnsi" w:hAnsiTheme="minorHAnsi" w:cs="Times New Roman"/>
          <w:bCs/>
          <w:sz w:val="22"/>
        </w:rPr>
        <w:t xml:space="preserve">The proposal before the legislature </w:t>
      </w:r>
      <w:r w:rsidR="00CE30E0" w:rsidRPr="00393C83">
        <w:rPr>
          <w:rFonts w:asciiTheme="minorHAnsi" w:hAnsiTheme="minorHAnsi" w:cs="Times New Roman"/>
          <w:bCs/>
          <w:sz w:val="22"/>
        </w:rPr>
        <w:t>would require that non-CPAs cease providing reports indicating they have used AICPA profes</w:t>
      </w:r>
      <w:r w:rsidRPr="00393C83">
        <w:rPr>
          <w:rFonts w:asciiTheme="minorHAnsi" w:hAnsiTheme="minorHAnsi" w:cs="Times New Roman"/>
          <w:bCs/>
          <w:sz w:val="22"/>
        </w:rPr>
        <w:t>sional standards.  However, non-CPAs</w:t>
      </w:r>
      <w:r w:rsidR="00CE30E0" w:rsidRPr="00393C83">
        <w:rPr>
          <w:rFonts w:asciiTheme="minorHAnsi" w:hAnsiTheme="minorHAnsi" w:cs="Times New Roman"/>
          <w:bCs/>
          <w:sz w:val="22"/>
        </w:rPr>
        <w:t xml:space="preserve"> will not be prohibited from developing or using alternative standards.  </w:t>
      </w:r>
      <w:r w:rsidRPr="00393C83">
        <w:rPr>
          <w:rFonts w:asciiTheme="minorHAnsi" w:hAnsiTheme="minorHAnsi" w:cs="Times New Roman"/>
          <w:bCs/>
          <w:sz w:val="22"/>
        </w:rPr>
        <w:t>Clients and the third parties who rely on these attest reports (e.g. financial institutions, shareholders) are free to decide which service providers and standards they trust in the marketplace.</w:t>
      </w:r>
      <w:r w:rsidR="00244837" w:rsidRPr="00393C83">
        <w:rPr>
          <w:rFonts w:asciiTheme="minorHAnsi" w:hAnsiTheme="minorHAnsi" w:cs="Times New Roman"/>
          <w:bCs/>
          <w:sz w:val="22"/>
        </w:rPr>
        <w:br/>
      </w:r>
    </w:p>
    <w:p w:rsidR="00B402E0" w:rsidRPr="00393C83" w:rsidRDefault="001F6939" w:rsidP="00CE30E0">
      <w:pPr>
        <w:pStyle w:val="Default"/>
        <w:numPr>
          <w:ilvl w:val="0"/>
          <w:numId w:val="5"/>
        </w:numPr>
        <w:spacing w:line="276" w:lineRule="auto"/>
        <w:rPr>
          <w:rFonts w:asciiTheme="minorHAnsi" w:hAnsiTheme="minorHAnsi" w:cs="Times New Roman"/>
          <w:b/>
          <w:sz w:val="22"/>
        </w:rPr>
      </w:pPr>
      <w:r w:rsidRPr="00393C83">
        <w:rPr>
          <w:rFonts w:asciiTheme="minorHAnsi" w:hAnsiTheme="minorHAnsi" w:cs="Times New Roman"/>
          <w:b/>
          <w:sz w:val="22"/>
        </w:rPr>
        <w:t>What does our State Board of Accountancy say about this</w:t>
      </w:r>
      <w:r w:rsidR="000859F5" w:rsidRPr="00393C83">
        <w:rPr>
          <w:rFonts w:asciiTheme="minorHAnsi" w:hAnsiTheme="minorHAnsi" w:cs="Times New Roman"/>
          <w:b/>
          <w:sz w:val="22"/>
        </w:rPr>
        <w:t xml:space="preserve"> proposed change?  What are the</w:t>
      </w:r>
      <w:r w:rsidRPr="00393C83">
        <w:rPr>
          <w:rFonts w:asciiTheme="minorHAnsi" w:hAnsiTheme="minorHAnsi" w:cs="Times New Roman"/>
          <w:b/>
          <w:sz w:val="22"/>
        </w:rPr>
        <w:t xml:space="preserve"> </w:t>
      </w:r>
      <w:r w:rsidR="000859F5" w:rsidRPr="00393C83">
        <w:rPr>
          <w:rFonts w:asciiTheme="minorHAnsi" w:hAnsiTheme="minorHAnsi" w:cs="Times New Roman"/>
          <w:b/>
          <w:sz w:val="22"/>
        </w:rPr>
        <w:t xml:space="preserve">AICPA’s and the </w:t>
      </w:r>
      <w:r w:rsidRPr="00393C83">
        <w:rPr>
          <w:rFonts w:asciiTheme="minorHAnsi" w:hAnsiTheme="minorHAnsi" w:cs="Times New Roman"/>
          <w:b/>
          <w:sz w:val="22"/>
        </w:rPr>
        <w:t>National Association of State Boards of Accountancy</w:t>
      </w:r>
      <w:r w:rsidR="00AA68E4" w:rsidRPr="00393C83">
        <w:rPr>
          <w:rFonts w:asciiTheme="minorHAnsi" w:hAnsiTheme="minorHAnsi" w:cs="Times New Roman"/>
          <w:b/>
          <w:sz w:val="22"/>
        </w:rPr>
        <w:t>’s</w:t>
      </w:r>
      <w:r w:rsidRPr="00393C83">
        <w:rPr>
          <w:rFonts w:asciiTheme="minorHAnsi" w:hAnsiTheme="minorHAnsi" w:cs="Times New Roman"/>
          <w:b/>
          <w:sz w:val="22"/>
        </w:rPr>
        <w:t xml:space="preserve"> </w:t>
      </w:r>
      <w:r w:rsidR="000859F5" w:rsidRPr="00393C83">
        <w:rPr>
          <w:rFonts w:asciiTheme="minorHAnsi" w:hAnsiTheme="minorHAnsi" w:cs="Times New Roman"/>
          <w:b/>
          <w:sz w:val="22"/>
        </w:rPr>
        <w:t>(NASBA) position on this proposal</w:t>
      </w:r>
      <w:r w:rsidRPr="00393C83">
        <w:rPr>
          <w:rFonts w:asciiTheme="minorHAnsi" w:hAnsiTheme="minorHAnsi" w:cs="Times New Roman"/>
          <w:b/>
          <w:sz w:val="22"/>
        </w:rPr>
        <w:t>?</w:t>
      </w:r>
    </w:p>
    <w:p w:rsidR="00B710D0" w:rsidRPr="00393C83" w:rsidRDefault="00CE30E0" w:rsidP="00F07125">
      <w:pPr>
        <w:pStyle w:val="Default"/>
        <w:spacing w:line="276" w:lineRule="auto"/>
        <w:rPr>
          <w:rFonts w:asciiTheme="minorHAnsi" w:hAnsiTheme="minorHAnsi" w:cs="Times New Roman"/>
          <w:b/>
          <w:i/>
          <w:sz w:val="22"/>
        </w:rPr>
      </w:pPr>
      <w:r w:rsidRPr="00393C83">
        <w:rPr>
          <w:rFonts w:asciiTheme="minorHAnsi" w:hAnsiTheme="minorHAnsi" w:cs="Times New Roman"/>
          <w:b/>
          <w:sz w:val="22"/>
        </w:rPr>
        <w:br/>
      </w:r>
      <w:r w:rsidRPr="00393C83">
        <w:rPr>
          <w:rFonts w:asciiTheme="minorHAnsi" w:hAnsiTheme="minorHAnsi" w:cs="Times New Roman"/>
          <w:b/>
          <w:i/>
          <w:sz w:val="22"/>
          <w:highlight w:val="yellow"/>
        </w:rPr>
        <w:t>(</w:t>
      </w:r>
      <w:r w:rsidR="000859F5" w:rsidRPr="00393C83">
        <w:rPr>
          <w:rFonts w:asciiTheme="minorHAnsi" w:hAnsiTheme="minorHAnsi" w:cs="Times New Roman"/>
          <w:b/>
          <w:i/>
          <w:sz w:val="22"/>
          <w:highlight w:val="yellow"/>
        </w:rPr>
        <w:t>Insert a</w:t>
      </w:r>
      <w:r w:rsidR="00D570A0" w:rsidRPr="00393C83">
        <w:rPr>
          <w:rFonts w:asciiTheme="minorHAnsi" w:hAnsiTheme="minorHAnsi" w:cs="Times New Roman"/>
          <w:b/>
          <w:i/>
          <w:sz w:val="22"/>
          <w:highlight w:val="yellow"/>
        </w:rPr>
        <w:t>n appropriate</w:t>
      </w:r>
      <w:r w:rsidR="000859F5" w:rsidRPr="00393C83">
        <w:rPr>
          <w:rFonts w:asciiTheme="minorHAnsi" w:hAnsiTheme="minorHAnsi" w:cs="Times New Roman"/>
          <w:b/>
          <w:i/>
          <w:sz w:val="22"/>
          <w:highlight w:val="yellow"/>
        </w:rPr>
        <w:t xml:space="preserve"> par</w:t>
      </w:r>
      <w:r w:rsidR="00D570A0" w:rsidRPr="00393C83">
        <w:rPr>
          <w:rFonts w:asciiTheme="minorHAnsi" w:hAnsiTheme="minorHAnsi" w:cs="Times New Roman"/>
          <w:b/>
          <w:i/>
          <w:sz w:val="22"/>
          <w:highlight w:val="yellow"/>
        </w:rPr>
        <w:t>a</w:t>
      </w:r>
      <w:r w:rsidR="000859F5" w:rsidRPr="00393C83">
        <w:rPr>
          <w:rFonts w:asciiTheme="minorHAnsi" w:hAnsiTheme="minorHAnsi" w:cs="Times New Roman"/>
          <w:b/>
          <w:i/>
          <w:sz w:val="22"/>
          <w:highlight w:val="yellow"/>
        </w:rPr>
        <w:t>graph here after consulting with your State Board of Accountancy</w:t>
      </w:r>
      <w:r w:rsidRPr="00393C83">
        <w:rPr>
          <w:rFonts w:asciiTheme="minorHAnsi" w:hAnsiTheme="minorHAnsi" w:cs="Times New Roman"/>
          <w:b/>
          <w:i/>
          <w:sz w:val="22"/>
          <w:highlight w:val="yellow"/>
        </w:rPr>
        <w:t>)</w:t>
      </w:r>
    </w:p>
    <w:p w:rsidR="001717FB" w:rsidRPr="00393C83" w:rsidRDefault="00F07125" w:rsidP="00F07125">
      <w:pPr>
        <w:pStyle w:val="Default"/>
        <w:spacing w:line="276" w:lineRule="auto"/>
        <w:rPr>
          <w:rFonts w:asciiTheme="minorHAnsi" w:hAnsiTheme="minorHAnsi" w:cs="Times New Roman"/>
          <w:i/>
          <w:sz w:val="22"/>
        </w:rPr>
      </w:pPr>
      <w:r w:rsidRPr="00393C83">
        <w:rPr>
          <w:rFonts w:asciiTheme="minorHAnsi" w:hAnsiTheme="minorHAnsi" w:cs="Times New Roman"/>
          <w:i/>
          <w:sz w:val="22"/>
        </w:rPr>
        <w:t xml:space="preserve">  </w:t>
      </w:r>
    </w:p>
    <w:p w:rsidR="000859F5" w:rsidRPr="00393C83" w:rsidRDefault="000859F5" w:rsidP="00F07125">
      <w:pPr>
        <w:pStyle w:val="Default"/>
        <w:spacing w:line="276" w:lineRule="auto"/>
        <w:rPr>
          <w:rFonts w:asciiTheme="minorHAnsi" w:hAnsiTheme="minorHAnsi" w:cs="Times New Roman"/>
          <w:bCs/>
          <w:sz w:val="22"/>
        </w:rPr>
      </w:pPr>
      <w:r w:rsidRPr="00393C83">
        <w:rPr>
          <w:rFonts w:asciiTheme="minorHAnsi" w:hAnsiTheme="minorHAnsi" w:cs="Times New Roman"/>
          <w:bCs/>
          <w:sz w:val="22"/>
        </w:rPr>
        <w:t>The AICPA and NASBA have taken steps to amend their model state accountancy act, the Uniform Accountancy Act (UAA)</w:t>
      </w:r>
      <w:r w:rsidR="00AA68E4" w:rsidRPr="00393C83">
        <w:rPr>
          <w:rFonts w:asciiTheme="minorHAnsi" w:hAnsiTheme="minorHAnsi" w:cs="Times New Roman"/>
          <w:bCs/>
          <w:sz w:val="22"/>
        </w:rPr>
        <w:t>,</w:t>
      </w:r>
      <w:r w:rsidRPr="00393C83">
        <w:rPr>
          <w:rFonts w:asciiTheme="minorHAnsi" w:hAnsiTheme="minorHAnsi" w:cs="Times New Roman"/>
          <w:bCs/>
          <w:sz w:val="22"/>
        </w:rPr>
        <w:t xml:space="preserve"> to include this revised definition of attest.  </w:t>
      </w:r>
      <w:r w:rsidR="00B710D0" w:rsidRPr="00393C83">
        <w:rPr>
          <w:rFonts w:asciiTheme="minorHAnsi" w:hAnsiTheme="minorHAnsi" w:cs="Times New Roman"/>
          <w:bCs/>
          <w:sz w:val="22"/>
        </w:rPr>
        <w:t>The UAA is often a reference point for state CPA societies, state boards of accountancy, and state lawmakers as they seek to revise and update their states’ respective accountancy laws.  The joint actions by these two national organizations show their mutual concern about protecting the public interest in our state and across the country</w:t>
      </w:r>
      <w:r w:rsidRPr="00393C83">
        <w:rPr>
          <w:rFonts w:asciiTheme="minorHAnsi" w:hAnsiTheme="minorHAnsi" w:cs="Times New Roman"/>
          <w:bCs/>
          <w:sz w:val="22"/>
        </w:rPr>
        <w:t xml:space="preserve">.  </w:t>
      </w:r>
    </w:p>
    <w:p w:rsidR="00393C83" w:rsidRPr="00393C83" w:rsidRDefault="00393C83" w:rsidP="00F07125">
      <w:pPr>
        <w:pStyle w:val="Default"/>
        <w:spacing w:line="276" w:lineRule="auto"/>
        <w:rPr>
          <w:rFonts w:asciiTheme="minorHAnsi" w:hAnsiTheme="minorHAnsi" w:cs="Times New Roman"/>
          <w:bCs/>
          <w:sz w:val="22"/>
        </w:rPr>
      </w:pPr>
    </w:p>
    <w:p w:rsidR="00393C83" w:rsidRPr="00393C83" w:rsidRDefault="00393C83" w:rsidP="00393C83">
      <w:pPr>
        <w:pStyle w:val="Default"/>
        <w:spacing w:line="276" w:lineRule="auto"/>
        <w:jc w:val="right"/>
        <w:rPr>
          <w:rFonts w:asciiTheme="minorHAnsi" w:hAnsiTheme="minorHAnsi" w:cs="Times New Roman"/>
          <w:i/>
          <w:sz w:val="22"/>
        </w:rPr>
      </w:pPr>
      <w:r w:rsidRPr="00393C83">
        <w:rPr>
          <w:rFonts w:asciiTheme="minorHAnsi" w:hAnsiTheme="minorHAnsi" w:cs="Times New Roman"/>
          <w:bCs/>
          <w:sz w:val="22"/>
        </w:rPr>
        <w:t>Updated: May 2014</w:t>
      </w:r>
    </w:p>
    <w:sectPr w:rsidR="00393C83" w:rsidRPr="00393C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D4" w:rsidRDefault="009614D4" w:rsidP="00C25CEB">
      <w:pPr>
        <w:spacing w:after="0" w:line="240" w:lineRule="auto"/>
      </w:pPr>
      <w:r>
        <w:separator/>
      </w:r>
    </w:p>
  </w:endnote>
  <w:endnote w:type="continuationSeparator" w:id="0">
    <w:p w:rsidR="009614D4" w:rsidRDefault="009614D4" w:rsidP="00C2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51963"/>
      <w:docPartObj>
        <w:docPartGallery w:val="Page Numbers (Bottom of Page)"/>
        <w:docPartUnique/>
      </w:docPartObj>
    </w:sdtPr>
    <w:sdtEndPr>
      <w:rPr>
        <w:noProof/>
      </w:rPr>
    </w:sdtEndPr>
    <w:sdtContent>
      <w:p w:rsidR="005B403F" w:rsidRDefault="005B403F">
        <w:pPr>
          <w:pStyle w:val="Footer"/>
          <w:jc w:val="center"/>
        </w:pPr>
        <w:r>
          <w:fldChar w:fldCharType="begin"/>
        </w:r>
        <w:r>
          <w:instrText xml:space="preserve"> PAGE   \* MERGEFORMAT </w:instrText>
        </w:r>
        <w:r>
          <w:fldChar w:fldCharType="separate"/>
        </w:r>
        <w:r w:rsidR="00393C83">
          <w:rPr>
            <w:noProof/>
          </w:rPr>
          <w:t>1</w:t>
        </w:r>
        <w:r>
          <w:rPr>
            <w:noProof/>
          </w:rPr>
          <w:fldChar w:fldCharType="end"/>
        </w:r>
      </w:p>
    </w:sdtContent>
  </w:sdt>
  <w:p w:rsidR="005B403F" w:rsidRDefault="005B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D4" w:rsidRDefault="009614D4" w:rsidP="00C25CEB">
      <w:pPr>
        <w:spacing w:after="0" w:line="240" w:lineRule="auto"/>
      </w:pPr>
      <w:r>
        <w:separator/>
      </w:r>
    </w:p>
  </w:footnote>
  <w:footnote w:type="continuationSeparator" w:id="0">
    <w:p w:rsidR="009614D4" w:rsidRDefault="009614D4" w:rsidP="00C2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F" w:rsidRPr="00F07125" w:rsidRDefault="005B403F" w:rsidP="00F0712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E92"/>
    <w:multiLevelType w:val="hybridMultilevel"/>
    <w:tmpl w:val="CB2AC3F2"/>
    <w:lvl w:ilvl="0" w:tplc="19563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13718"/>
    <w:multiLevelType w:val="hybridMultilevel"/>
    <w:tmpl w:val="D354F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F90151"/>
    <w:multiLevelType w:val="hybridMultilevel"/>
    <w:tmpl w:val="797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8745F"/>
    <w:multiLevelType w:val="hybridMultilevel"/>
    <w:tmpl w:val="66E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C649B"/>
    <w:multiLevelType w:val="hybridMultilevel"/>
    <w:tmpl w:val="9D14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6D4EBC"/>
    <w:multiLevelType w:val="hybridMultilevel"/>
    <w:tmpl w:val="55260508"/>
    <w:lvl w:ilvl="0" w:tplc="19563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14"/>
    <w:rsid w:val="00000D7F"/>
    <w:rsid w:val="00003FD2"/>
    <w:rsid w:val="0002730E"/>
    <w:rsid w:val="000324BE"/>
    <w:rsid w:val="00055FE6"/>
    <w:rsid w:val="000859F5"/>
    <w:rsid w:val="000F0E49"/>
    <w:rsid w:val="00103116"/>
    <w:rsid w:val="00124A37"/>
    <w:rsid w:val="00153814"/>
    <w:rsid w:val="001717FB"/>
    <w:rsid w:val="001B1A32"/>
    <w:rsid w:val="001D36DD"/>
    <w:rsid w:val="001E64F1"/>
    <w:rsid w:val="001F6939"/>
    <w:rsid w:val="0020018C"/>
    <w:rsid w:val="00244837"/>
    <w:rsid w:val="0026742F"/>
    <w:rsid w:val="002B7016"/>
    <w:rsid w:val="002D0BE5"/>
    <w:rsid w:val="00335171"/>
    <w:rsid w:val="00341955"/>
    <w:rsid w:val="00352598"/>
    <w:rsid w:val="00393C83"/>
    <w:rsid w:val="003B05E2"/>
    <w:rsid w:val="003B38C0"/>
    <w:rsid w:val="003E5A9A"/>
    <w:rsid w:val="003F0C47"/>
    <w:rsid w:val="003F2AC0"/>
    <w:rsid w:val="004244A8"/>
    <w:rsid w:val="004C7E52"/>
    <w:rsid w:val="005004FE"/>
    <w:rsid w:val="00514A74"/>
    <w:rsid w:val="005152E4"/>
    <w:rsid w:val="00521FE8"/>
    <w:rsid w:val="00582B91"/>
    <w:rsid w:val="00586BE0"/>
    <w:rsid w:val="005A0B22"/>
    <w:rsid w:val="005B14D1"/>
    <w:rsid w:val="005B403F"/>
    <w:rsid w:val="005C6EDB"/>
    <w:rsid w:val="005F7708"/>
    <w:rsid w:val="005F784B"/>
    <w:rsid w:val="0060708E"/>
    <w:rsid w:val="00672AD9"/>
    <w:rsid w:val="006F55A0"/>
    <w:rsid w:val="00727724"/>
    <w:rsid w:val="00743347"/>
    <w:rsid w:val="00761EAB"/>
    <w:rsid w:val="00774625"/>
    <w:rsid w:val="007931D2"/>
    <w:rsid w:val="007C27BF"/>
    <w:rsid w:val="007E63B7"/>
    <w:rsid w:val="008064E5"/>
    <w:rsid w:val="00836D01"/>
    <w:rsid w:val="00893259"/>
    <w:rsid w:val="008A41AF"/>
    <w:rsid w:val="008B6AA8"/>
    <w:rsid w:val="008F50ED"/>
    <w:rsid w:val="009255E6"/>
    <w:rsid w:val="0094133B"/>
    <w:rsid w:val="009555B8"/>
    <w:rsid w:val="0095670F"/>
    <w:rsid w:val="009614D4"/>
    <w:rsid w:val="00A374B2"/>
    <w:rsid w:val="00A71C35"/>
    <w:rsid w:val="00AA0EAD"/>
    <w:rsid w:val="00AA68E4"/>
    <w:rsid w:val="00AB50CC"/>
    <w:rsid w:val="00B11012"/>
    <w:rsid w:val="00B402E0"/>
    <w:rsid w:val="00B56CBA"/>
    <w:rsid w:val="00B710D0"/>
    <w:rsid w:val="00B8368C"/>
    <w:rsid w:val="00BB40FA"/>
    <w:rsid w:val="00C25CEB"/>
    <w:rsid w:val="00C47417"/>
    <w:rsid w:val="00C825E7"/>
    <w:rsid w:val="00CA3569"/>
    <w:rsid w:val="00CC7ECD"/>
    <w:rsid w:val="00CE30E0"/>
    <w:rsid w:val="00D1055D"/>
    <w:rsid w:val="00D52300"/>
    <w:rsid w:val="00D570A0"/>
    <w:rsid w:val="00DB5283"/>
    <w:rsid w:val="00DC756E"/>
    <w:rsid w:val="00DF3001"/>
    <w:rsid w:val="00DF58AE"/>
    <w:rsid w:val="00E01A53"/>
    <w:rsid w:val="00E42492"/>
    <w:rsid w:val="00E828D6"/>
    <w:rsid w:val="00EA5DC4"/>
    <w:rsid w:val="00EB5B4B"/>
    <w:rsid w:val="00ED07AD"/>
    <w:rsid w:val="00EE6CBB"/>
    <w:rsid w:val="00F07125"/>
    <w:rsid w:val="00F26900"/>
    <w:rsid w:val="00F821E9"/>
    <w:rsid w:val="00FA3A7C"/>
    <w:rsid w:val="00FC0444"/>
    <w:rsid w:val="00FC2B5E"/>
    <w:rsid w:val="00FD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E49"/>
    <w:rPr>
      <w:color w:val="0000FF" w:themeColor="hyperlink"/>
      <w:u w:val="single"/>
    </w:rPr>
  </w:style>
  <w:style w:type="paragraph" w:styleId="ListParagraph">
    <w:name w:val="List Paragraph"/>
    <w:basedOn w:val="Normal"/>
    <w:uiPriority w:val="34"/>
    <w:qFormat/>
    <w:rsid w:val="00D52300"/>
    <w:pPr>
      <w:spacing w:after="0" w:line="240" w:lineRule="auto"/>
      <w:ind w:left="720"/>
    </w:pPr>
    <w:rPr>
      <w:rFonts w:ascii="Calibri" w:hAnsi="Calibri" w:cs="Calibri"/>
    </w:rPr>
  </w:style>
  <w:style w:type="paragraph" w:customStyle="1" w:styleId="Default">
    <w:name w:val="Default"/>
    <w:rsid w:val="00FD02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EB"/>
  </w:style>
  <w:style w:type="paragraph" w:styleId="Footer">
    <w:name w:val="footer"/>
    <w:basedOn w:val="Normal"/>
    <w:link w:val="FooterChar"/>
    <w:uiPriority w:val="99"/>
    <w:unhideWhenUsed/>
    <w:rsid w:val="00C2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EB"/>
  </w:style>
  <w:style w:type="character" w:styleId="CommentReference">
    <w:name w:val="annotation reference"/>
    <w:basedOn w:val="DefaultParagraphFont"/>
    <w:uiPriority w:val="99"/>
    <w:semiHidden/>
    <w:unhideWhenUsed/>
    <w:rsid w:val="005004FE"/>
    <w:rPr>
      <w:sz w:val="16"/>
      <w:szCs w:val="16"/>
    </w:rPr>
  </w:style>
  <w:style w:type="paragraph" w:styleId="CommentText">
    <w:name w:val="annotation text"/>
    <w:basedOn w:val="Normal"/>
    <w:link w:val="CommentTextChar"/>
    <w:uiPriority w:val="99"/>
    <w:semiHidden/>
    <w:unhideWhenUsed/>
    <w:rsid w:val="005004FE"/>
    <w:pPr>
      <w:spacing w:line="240" w:lineRule="auto"/>
    </w:pPr>
    <w:rPr>
      <w:sz w:val="20"/>
      <w:szCs w:val="20"/>
    </w:rPr>
  </w:style>
  <w:style w:type="character" w:customStyle="1" w:styleId="CommentTextChar">
    <w:name w:val="Comment Text Char"/>
    <w:basedOn w:val="DefaultParagraphFont"/>
    <w:link w:val="CommentText"/>
    <w:uiPriority w:val="99"/>
    <w:semiHidden/>
    <w:rsid w:val="005004FE"/>
    <w:rPr>
      <w:sz w:val="20"/>
      <w:szCs w:val="20"/>
    </w:rPr>
  </w:style>
  <w:style w:type="paragraph" w:styleId="CommentSubject">
    <w:name w:val="annotation subject"/>
    <w:basedOn w:val="CommentText"/>
    <w:next w:val="CommentText"/>
    <w:link w:val="CommentSubjectChar"/>
    <w:uiPriority w:val="99"/>
    <w:semiHidden/>
    <w:unhideWhenUsed/>
    <w:rsid w:val="005004FE"/>
    <w:rPr>
      <w:b/>
      <w:bCs/>
    </w:rPr>
  </w:style>
  <w:style w:type="character" w:customStyle="1" w:styleId="CommentSubjectChar">
    <w:name w:val="Comment Subject Char"/>
    <w:basedOn w:val="CommentTextChar"/>
    <w:link w:val="CommentSubject"/>
    <w:uiPriority w:val="99"/>
    <w:semiHidden/>
    <w:rsid w:val="005004FE"/>
    <w:rPr>
      <w:b/>
      <w:bCs/>
      <w:sz w:val="20"/>
      <w:szCs w:val="20"/>
    </w:rPr>
  </w:style>
  <w:style w:type="paragraph" w:styleId="BalloonText">
    <w:name w:val="Balloon Text"/>
    <w:basedOn w:val="Normal"/>
    <w:link w:val="BalloonTextChar"/>
    <w:uiPriority w:val="99"/>
    <w:semiHidden/>
    <w:unhideWhenUsed/>
    <w:rsid w:val="0050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E"/>
    <w:rPr>
      <w:rFonts w:ascii="Tahoma" w:hAnsi="Tahoma" w:cs="Tahoma"/>
      <w:sz w:val="16"/>
      <w:szCs w:val="16"/>
    </w:rPr>
  </w:style>
  <w:style w:type="character" w:styleId="Emphasis">
    <w:name w:val="Emphasis"/>
    <w:basedOn w:val="DefaultParagraphFont"/>
    <w:uiPriority w:val="20"/>
    <w:qFormat/>
    <w:rsid w:val="00B8368C"/>
    <w:rPr>
      <w:b/>
      <w:bCs/>
      <w:i w:val="0"/>
      <w:iCs w:val="0"/>
    </w:rPr>
  </w:style>
  <w:style w:type="character" w:customStyle="1" w:styleId="st1">
    <w:name w:val="st1"/>
    <w:basedOn w:val="DefaultParagraphFont"/>
    <w:rsid w:val="00FC0444"/>
  </w:style>
  <w:style w:type="character" w:customStyle="1" w:styleId="ft">
    <w:name w:val="ft"/>
    <w:basedOn w:val="DefaultParagraphFont"/>
    <w:rsid w:val="00C82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E49"/>
    <w:rPr>
      <w:color w:val="0000FF" w:themeColor="hyperlink"/>
      <w:u w:val="single"/>
    </w:rPr>
  </w:style>
  <w:style w:type="paragraph" w:styleId="ListParagraph">
    <w:name w:val="List Paragraph"/>
    <w:basedOn w:val="Normal"/>
    <w:uiPriority w:val="34"/>
    <w:qFormat/>
    <w:rsid w:val="00D52300"/>
    <w:pPr>
      <w:spacing w:after="0" w:line="240" w:lineRule="auto"/>
      <w:ind w:left="720"/>
    </w:pPr>
    <w:rPr>
      <w:rFonts w:ascii="Calibri" w:hAnsi="Calibri" w:cs="Calibri"/>
    </w:rPr>
  </w:style>
  <w:style w:type="paragraph" w:customStyle="1" w:styleId="Default">
    <w:name w:val="Default"/>
    <w:rsid w:val="00FD021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5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EB"/>
  </w:style>
  <w:style w:type="paragraph" w:styleId="Footer">
    <w:name w:val="footer"/>
    <w:basedOn w:val="Normal"/>
    <w:link w:val="FooterChar"/>
    <w:uiPriority w:val="99"/>
    <w:unhideWhenUsed/>
    <w:rsid w:val="00C2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EB"/>
  </w:style>
  <w:style w:type="character" w:styleId="CommentReference">
    <w:name w:val="annotation reference"/>
    <w:basedOn w:val="DefaultParagraphFont"/>
    <w:uiPriority w:val="99"/>
    <w:semiHidden/>
    <w:unhideWhenUsed/>
    <w:rsid w:val="005004FE"/>
    <w:rPr>
      <w:sz w:val="16"/>
      <w:szCs w:val="16"/>
    </w:rPr>
  </w:style>
  <w:style w:type="paragraph" w:styleId="CommentText">
    <w:name w:val="annotation text"/>
    <w:basedOn w:val="Normal"/>
    <w:link w:val="CommentTextChar"/>
    <w:uiPriority w:val="99"/>
    <w:semiHidden/>
    <w:unhideWhenUsed/>
    <w:rsid w:val="005004FE"/>
    <w:pPr>
      <w:spacing w:line="240" w:lineRule="auto"/>
    </w:pPr>
    <w:rPr>
      <w:sz w:val="20"/>
      <w:szCs w:val="20"/>
    </w:rPr>
  </w:style>
  <w:style w:type="character" w:customStyle="1" w:styleId="CommentTextChar">
    <w:name w:val="Comment Text Char"/>
    <w:basedOn w:val="DefaultParagraphFont"/>
    <w:link w:val="CommentText"/>
    <w:uiPriority w:val="99"/>
    <w:semiHidden/>
    <w:rsid w:val="005004FE"/>
    <w:rPr>
      <w:sz w:val="20"/>
      <w:szCs w:val="20"/>
    </w:rPr>
  </w:style>
  <w:style w:type="paragraph" w:styleId="CommentSubject">
    <w:name w:val="annotation subject"/>
    <w:basedOn w:val="CommentText"/>
    <w:next w:val="CommentText"/>
    <w:link w:val="CommentSubjectChar"/>
    <w:uiPriority w:val="99"/>
    <w:semiHidden/>
    <w:unhideWhenUsed/>
    <w:rsid w:val="005004FE"/>
    <w:rPr>
      <w:b/>
      <w:bCs/>
    </w:rPr>
  </w:style>
  <w:style w:type="character" w:customStyle="1" w:styleId="CommentSubjectChar">
    <w:name w:val="Comment Subject Char"/>
    <w:basedOn w:val="CommentTextChar"/>
    <w:link w:val="CommentSubject"/>
    <w:uiPriority w:val="99"/>
    <w:semiHidden/>
    <w:rsid w:val="005004FE"/>
    <w:rPr>
      <w:b/>
      <w:bCs/>
      <w:sz w:val="20"/>
      <w:szCs w:val="20"/>
    </w:rPr>
  </w:style>
  <w:style w:type="paragraph" w:styleId="BalloonText">
    <w:name w:val="Balloon Text"/>
    <w:basedOn w:val="Normal"/>
    <w:link w:val="BalloonTextChar"/>
    <w:uiPriority w:val="99"/>
    <w:semiHidden/>
    <w:unhideWhenUsed/>
    <w:rsid w:val="00500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E"/>
    <w:rPr>
      <w:rFonts w:ascii="Tahoma" w:hAnsi="Tahoma" w:cs="Tahoma"/>
      <w:sz w:val="16"/>
      <w:szCs w:val="16"/>
    </w:rPr>
  </w:style>
  <w:style w:type="character" w:styleId="Emphasis">
    <w:name w:val="Emphasis"/>
    <w:basedOn w:val="DefaultParagraphFont"/>
    <w:uiPriority w:val="20"/>
    <w:qFormat/>
    <w:rsid w:val="00B8368C"/>
    <w:rPr>
      <w:b/>
      <w:bCs/>
      <w:i w:val="0"/>
      <w:iCs w:val="0"/>
    </w:rPr>
  </w:style>
  <w:style w:type="character" w:customStyle="1" w:styleId="st1">
    <w:name w:val="st1"/>
    <w:basedOn w:val="DefaultParagraphFont"/>
    <w:rsid w:val="00FC0444"/>
  </w:style>
  <w:style w:type="character" w:customStyle="1" w:styleId="ft">
    <w:name w:val="ft"/>
    <w:basedOn w:val="DefaultParagraphFont"/>
    <w:rsid w:val="00C8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120C30-A3BD-4464-ABF0-3567FA2A8486}"/>
</file>

<file path=customXml/itemProps2.xml><?xml version="1.0" encoding="utf-8"?>
<ds:datastoreItem xmlns:ds="http://schemas.openxmlformats.org/officeDocument/2006/customXml" ds:itemID="{F6DC853B-C6B9-4EBF-9E83-8CA0E86052BA}"/>
</file>

<file path=customXml/itemProps3.xml><?xml version="1.0" encoding="utf-8"?>
<ds:datastoreItem xmlns:ds="http://schemas.openxmlformats.org/officeDocument/2006/customXml" ds:itemID="{72E3A007-283D-4E0A-90BC-A59CE8F21241}"/>
</file>

<file path=customXml/itemProps4.xml><?xml version="1.0" encoding="utf-8"?>
<ds:datastoreItem xmlns:ds="http://schemas.openxmlformats.org/officeDocument/2006/customXml" ds:itemID="{D316A702-C3C1-4865-9974-9568A995EA4B}"/>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Attest Frequently Asked Questions</dc:title>
  <dc:creator>Daniel Bond</dc:creator>
  <cp:lastModifiedBy>AICPA</cp:lastModifiedBy>
  <cp:revision>2</cp:revision>
  <dcterms:created xsi:type="dcterms:W3CDTF">2014-05-19T21:32:00Z</dcterms:created>
  <dcterms:modified xsi:type="dcterms:W3CDTF">2014-05-19T21:32:00Z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